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2CEC3B62" w:rsidR="00EC2AB3" w:rsidRDefault="00D425F2">
      <w:pPr>
        <w:pStyle w:val="3GPPHeader"/>
        <w:snapToGrid w:val="0"/>
        <w:rPr>
          <w:rFonts w:cs="Arial"/>
          <w:sz w:val="22"/>
        </w:rPr>
      </w:pPr>
      <w:bookmarkStart w:id="0" w:name="OLE_LINK1"/>
      <w:bookmarkStart w:id="1" w:name="OLE_LINK2"/>
      <w:r>
        <w:rPr>
          <w:rFonts w:cs="Arial"/>
          <w:sz w:val="22"/>
        </w:rPr>
        <w:t>3GPP TSG RAN WG1 #</w:t>
      </w:r>
      <w:r w:rsidR="000A50D3">
        <w:rPr>
          <w:rFonts w:cs="Arial"/>
          <w:sz w:val="22"/>
        </w:rPr>
        <w:t xml:space="preserve">98                                                                                                       </w:t>
      </w:r>
      <w:r>
        <w:rPr>
          <w:rFonts w:cs="Arial"/>
          <w:sz w:val="22"/>
        </w:rPr>
        <w:t>R1-</w:t>
      </w:r>
      <w:r w:rsidR="000A2EEC">
        <w:rPr>
          <w:rFonts w:cs="Arial"/>
          <w:sz w:val="22"/>
        </w:rPr>
        <w:t>190</w:t>
      </w:r>
      <w:r w:rsidR="00F80AB6">
        <w:rPr>
          <w:rFonts w:cs="Arial"/>
          <w:sz w:val="22"/>
        </w:rPr>
        <w:t>9479</w:t>
      </w:r>
    </w:p>
    <w:p w14:paraId="2992983B" w14:textId="5D546DE7" w:rsidR="00EC2AB3" w:rsidRPr="00670CC3" w:rsidRDefault="00670CC3">
      <w:pPr>
        <w:pStyle w:val="3GPPHeader"/>
        <w:snapToGrid w:val="0"/>
        <w:rPr>
          <w:rFonts w:cs="Arial"/>
          <w:sz w:val="22"/>
        </w:rPr>
      </w:pPr>
      <w:r>
        <w:rPr>
          <w:rFonts w:cs="Arial"/>
          <w:sz w:val="22"/>
        </w:rPr>
        <w:t>Prague, CZ, August 26</w:t>
      </w:r>
      <w:r w:rsidRPr="00670CC3">
        <w:rPr>
          <w:rFonts w:cs="Arial"/>
          <w:sz w:val="22"/>
          <w:vertAlign w:val="superscript"/>
        </w:rPr>
        <w:t>th</w:t>
      </w:r>
      <w:r>
        <w:rPr>
          <w:rFonts w:cs="Arial"/>
          <w:sz w:val="22"/>
        </w:rPr>
        <w:t xml:space="preserve"> – </w:t>
      </w:r>
      <w:r w:rsidR="002A31C7">
        <w:rPr>
          <w:rFonts w:cs="Arial"/>
          <w:sz w:val="22"/>
        </w:rPr>
        <w:t>30</w:t>
      </w:r>
      <w:r w:rsidR="002A31C7" w:rsidRPr="00670CC3">
        <w:rPr>
          <w:rFonts w:cs="Arial"/>
          <w:sz w:val="22"/>
          <w:vertAlign w:val="superscript"/>
        </w:rPr>
        <w:t>th</w:t>
      </w:r>
      <w:r w:rsidR="002A31C7">
        <w:rPr>
          <w:rFonts w:cs="Arial"/>
          <w:sz w:val="22"/>
        </w:rPr>
        <w:t>, 2019</w:t>
      </w:r>
    </w:p>
    <w:p w14:paraId="77E6D5CA" w14:textId="77777777" w:rsidR="00EC2AB3" w:rsidRDefault="00EC2AB3">
      <w:pPr>
        <w:pStyle w:val="3GPPHeader"/>
        <w:snapToGrid w:val="0"/>
        <w:rPr>
          <w:rFonts w:cs="Arial"/>
          <w:sz w:val="22"/>
        </w:rPr>
      </w:pPr>
    </w:p>
    <w:p w14:paraId="6DA495B9" w14:textId="77777777" w:rsidR="00EC2AB3" w:rsidRDefault="00D425F2">
      <w:pPr>
        <w:pStyle w:val="3GPPHeader"/>
        <w:snapToGrid w:val="0"/>
        <w:rPr>
          <w:rFonts w:cs="Arial"/>
          <w:sz w:val="22"/>
        </w:rPr>
      </w:pPr>
      <w:r>
        <w:rPr>
          <w:rFonts w:cs="Arial"/>
          <w:sz w:val="22"/>
        </w:rPr>
        <w:t>Source:</w:t>
      </w:r>
      <w:r>
        <w:rPr>
          <w:rFonts w:cs="Arial"/>
          <w:sz w:val="22"/>
        </w:rPr>
        <w:tab/>
        <w:t>ZTE</w:t>
      </w:r>
    </w:p>
    <w:p w14:paraId="5E10D769" w14:textId="5E6CF591" w:rsidR="00EC2AB3" w:rsidRDefault="00D425F2">
      <w:pPr>
        <w:pStyle w:val="3GPPHeader"/>
        <w:snapToGrid w:val="0"/>
        <w:rPr>
          <w:rFonts w:cs="Arial"/>
          <w:sz w:val="22"/>
        </w:rPr>
      </w:pPr>
      <w:r>
        <w:rPr>
          <w:rFonts w:cs="Arial"/>
          <w:sz w:val="22"/>
        </w:rPr>
        <w:t>Title:</w:t>
      </w:r>
      <w:r>
        <w:rPr>
          <w:rFonts w:cs="Arial"/>
          <w:sz w:val="22"/>
        </w:rPr>
        <w:tab/>
      </w:r>
      <w:r w:rsidR="000A2EEC">
        <w:rPr>
          <w:rFonts w:cs="Arial"/>
          <w:sz w:val="22"/>
        </w:rPr>
        <w:t>S</w:t>
      </w:r>
      <w:r>
        <w:rPr>
          <w:rFonts w:cs="Arial"/>
          <w:sz w:val="22"/>
        </w:rPr>
        <w:t>ummary of 7.2.5.3 on UL timing and PRACH</w:t>
      </w:r>
      <w:r w:rsidR="00DF0AF2">
        <w:rPr>
          <w:rFonts w:cs="Arial"/>
          <w:sz w:val="22"/>
        </w:rPr>
        <w:t xml:space="preserve"> for NTN</w:t>
      </w:r>
    </w:p>
    <w:p w14:paraId="4724C510" w14:textId="77777777" w:rsidR="00EC2AB3" w:rsidRDefault="00D425F2">
      <w:pPr>
        <w:pStyle w:val="3GPPHeader"/>
        <w:snapToGrid w:val="0"/>
        <w:rPr>
          <w:rFonts w:cs="Arial"/>
          <w:sz w:val="22"/>
        </w:rPr>
      </w:pPr>
      <w:r>
        <w:rPr>
          <w:rFonts w:cs="Arial"/>
          <w:sz w:val="22"/>
        </w:rPr>
        <w:t>Agenda Item:</w:t>
      </w:r>
      <w:r>
        <w:rPr>
          <w:rFonts w:cs="Arial"/>
          <w:sz w:val="22"/>
        </w:rPr>
        <w:tab/>
        <w:t>7.2.5.3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3208696F"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754B475" w14:textId="319EA33D" w:rsidR="00DF0AF2" w:rsidRDefault="00D425F2" w:rsidP="00CF16CE">
      <w:pPr>
        <w:snapToGrid w:val="0"/>
        <w:spacing w:beforeLines="50" w:before="120" w:afterLines="50" w:after="120"/>
        <w:ind w:leftChars="100" w:left="200"/>
        <w:rPr>
          <w:rFonts w:eastAsiaTheme="minorEastAsia"/>
          <w:lang w:eastAsia="zh-CN"/>
        </w:rPr>
      </w:pPr>
      <w:r w:rsidRPr="00CF16CE">
        <w:rPr>
          <w:rFonts w:eastAsiaTheme="minorEastAsia"/>
          <w:lang w:eastAsia="zh-CN"/>
        </w:rPr>
        <w:t xml:space="preserve">In </w:t>
      </w:r>
      <w:r w:rsidR="0002398B">
        <w:rPr>
          <w:rFonts w:eastAsiaTheme="minorEastAsia"/>
          <w:lang w:eastAsia="zh-CN"/>
        </w:rPr>
        <w:t xml:space="preserve">previous </w:t>
      </w:r>
      <w:r w:rsidR="00DF0AF2">
        <w:rPr>
          <w:rFonts w:eastAsiaTheme="minorEastAsia"/>
          <w:lang w:eastAsia="zh-CN"/>
        </w:rPr>
        <w:t>meetings, following agreements have been achieved for UL timing and PRACH in NTN:</w:t>
      </w:r>
    </w:p>
    <w:p w14:paraId="72D44B55" w14:textId="2AFD35EB" w:rsidR="00741013" w:rsidRPr="00741013" w:rsidRDefault="00741013" w:rsidP="00741013">
      <w:pPr>
        <w:ind w:leftChars="100" w:left="200"/>
        <w:rPr>
          <w:lang w:val="en-US"/>
        </w:rPr>
      </w:pPr>
      <w:r w:rsidRPr="00741013">
        <w:rPr>
          <w:highlight w:val="green"/>
        </w:rPr>
        <w:t>Agreements in RAN1</w:t>
      </w:r>
      <w:r w:rsidRPr="00741013">
        <w:rPr>
          <w:highlight w:val="green"/>
          <w:lang w:val="en-US"/>
        </w:rPr>
        <w:t>#97:</w:t>
      </w:r>
    </w:p>
    <w:p w14:paraId="555B018D" w14:textId="77777777" w:rsidR="00741013" w:rsidRDefault="00741013" w:rsidP="00741013">
      <w:pPr>
        <w:spacing w:beforeLines="50" w:before="120" w:afterLines="50" w:after="120"/>
        <w:ind w:leftChars="100" w:left="200"/>
      </w:pPr>
      <w:r>
        <w:t xml:space="preserve">Performance evaluations of the synchronization for DL are encouraged. For these evaluations, </w:t>
      </w:r>
    </w:p>
    <w:p w14:paraId="1F5759DD" w14:textId="77777777" w:rsidR="00741013" w:rsidRDefault="00741013" w:rsidP="00207430">
      <w:pPr>
        <w:numPr>
          <w:ilvl w:val="0"/>
          <w:numId w:val="18"/>
        </w:numPr>
        <w:overflowPunct/>
        <w:autoSpaceDE/>
        <w:autoSpaceDN/>
        <w:adjustRightInd/>
        <w:spacing w:beforeLines="50" w:before="120" w:afterLines="50" w:after="120"/>
        <w:ind w:leftChars="280" w:left="920"/>
        <w:textAlignment w:val="auto"/>
      </w:pPr>
      <w:r>
        <w:t xml:space="preserve">For LEO systems, beam specific pre-compensation of the common frequency shift at satellite with respect to the spot beam center can be considered </w:t>
      </w:r>
    </w:p>
    <w:p w14:paraId="5405F8DA" w14:textId="77777777" w:rsidR="00741013" w:rsidRDefault="00741013" w:rsidP="00741013">
      <w:pPr>
        <w:spacing w:beforeLines="50" w:before="120" w:afterLines="50" w:after="120"/>
        <w:ind w:leftChars="100" w:left="200"/>
      </w:pPr>
      <w:r>
        <w:t>For UL frequency compensation at least in LEO systems:</w:t>
      </w:r>
    </w:p>
    <w:p w14:paraId="0428B47E" w14:textId="77777777" w:rsidR="00741013" w:rsidRDefault="00741013" w:rsidP="00207430">
      <w:pPr>
        <w:numPr>
          <w:ilvl w:val="0"/>
          <w:numId w:val="18"/>
        </w:numPr>
        <w:overflowPunct/>
        <w:autoSpaceDE/>
        <w:autoSpaceDN/>
        <w:adjustRightInd/>
        <w:spacing w:beforeLines="50" w:before="120" w:afterLines="50" w:after="120"/>
        <w:ind w:leftChars="280" w:left="920"/>
        <w:textAlignment w:val="auto"/>
      </w:pPr>
      <w:r>
        <w:t xml:space="preserve">Both open and closed-loop can be studied </w:t>
      </w:r>
    </w:p>
    <w:p w14:paraId="28A0EB77" w14:textId="77777777" w:rsidR="00741013" w:rsidRDefault="00741013" w:rsidP="00207430">
      <w:pPr>
        <w:numPr>
          <w:ilvl w:val="1"/>
          <w:numId w:val="18"/>
        </w:numPr>
        <w:overflowPunct/>
        <w:autoSpaceDE/>
        <w:autoSpaceDN/>
        <w:adjustRightInd/>
        <w:spacing w:beforeLines="50" w:before="120" w:afterLines="50" w:after="120"/>
        <w:ind w:leftChars="640" w:left="1640"/>
        <w:textAlignment w:val="auto"/>
      </w:pPr>
      <w:r>
        <w:t>Beam specific post-compensation of common frequency offset at gNB can be considered</w:t>
      </w:r>
    </w:p>
    <w:p w14:paraId="4075F5B8"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FFS: Further indication of common frequency offset</w:t>
      </w:r>
    </w:p>
    <w:p w14:paraId="0860643F"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FFS: Signalling details</w:t>
      </w:r>
    </w:p>
    <w:p w14:paraId="74F2748A"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FFS: Compensation of common frequency offset at UE side</w:t>
      </w:r>
    </w:p>
    <w:p w14:paraId="146DC00E" w14:textId="77777777" w:rsidR="00741013" w:rsidRDefault="00741013" w:rsidP="00207430">
      <w:pPr>
        <w:numPr>
          <w:ilvl w:val="0"/>
          <w:numId w:val="18"/>
        </w:numPr>
        <w:overflowPunct/>
        <w:autoSpaceDE/>
        <w:autoSpaceDN/>
        <w:adjustRightInd/>
        <w:spacing w:beforeLines="50" w:before="120" w:afterLines="50" w:after="120"/>
        <w:ind w:leftChars="280" w:left="920"/>
        <w:textAlignment w:val="auto"/>
      </w:pPr>
      <w:r>
        <w:t>For Open-loop method:</w:t>
      </w:r>
    </w:p>
    <w:p w14:paraId="516D9E8B" w14:textId="77777777" w:rsidR="00741013" w:rsidRDefault="00741013" w:rsidP="00207430">
      <w:pPr>
        <w:numPr>
          <w:ilvl w:val="1"/>
          <w:numId w:val="18"/>
        </w:numPr>
        <w:overflowPunct/>
        <w:autoSpaceDE/>
        <w:autoSpaceDN/>
        <w:adjustRightInd/>
        <w:spacing w:beforeLines="50" w:before="120" w:afterLines="50" w:after="120"/>
        <w:ind w:leftChars="640" w:left="1640"/>
        <w:textAlignment w:val="auto"/>
      </w:pPr>
      <w:r>
        <w:t>Estimation of UE-specific frequency offset and pre-compensation at UE side can be conducted based on:</w:t>
      </w:r>
    </w:p>
    <w:p w14:paraId="756822F1"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DL RSs</w:t>
      </w:r>
    </w:p>
    <w:p w14:paraId="37117FB2" w14:textId="77777777" w:rsidR="00741013" w:rsidRDefault="00741013" w:rsidP="00207430">
      <w:pPr>
        <w:numPr>
          <w:ilvl w:val="2"/>
          <w:numId w:val="18"/>
        </w:numPr>
        <w:overflowPunct/>
        <w:autoSpaceDE/>
        <w:autoSpaceDN/>
        <w:adjustRightInd/>
        <w:spacing w:beforeLines="50" w:before="120" w:afterLines="50" w:after="120"/>
        <w:ind w:leftChars="1000" w:left="2360"/>
        <w:textAlignment w:val="auto"/>
      </w:pPr>
      <w:r>
        <w:t>UE location and satellite ephemeris</w:t>
      </w:r>
    </w:p>
    <w:p w14:paraId="355CAB27" w14:textId="77777777" w:rsidR="00741013" w:rsidRDefault="00741013" w:rsidP="00207430">
      <w:pPr>
        <w:numPr>
          <w:ilvl w:val="3"/>
          <w:numId w:val="18"/>
        </w:numPr>
        <w:overflowPunct/>
        <w:autoSpaceDE/>
        <w:autoSpaceDN/>
        <w:adjustRightInd/>
        <w:spacing w:beforeLines="50" w:before="120" w:afterLines="50" w:after="120"/>
        <w:ind w:leftChars="1360" w:left="3080"/>
        <w:textAlignment w:val="auto"/>
      </w:pPr>
      <w:r>
        <w:t>FFS: Determination of UE location</w:t>
      </w:r>
    </w:p>
    <w:p w14:paraId="4F4B3794" w14:textId="77777777" w:rsidR="00741013" w:rsidRDefault="00741013" w:rsidP="00741013">
      <w:pPr>
        <w:spacing w:beforeLines="50" w:before="120" w:afterLines="50" w:after="120"/>
        <w:ind w:leftChars="100" w:left="200"/>
      </w:pPr>
      <w:r>
        <w:t>The scenarios where the Rel-15 PRACH design is sufficient and the scenarios where an extended or new PRACH design is required should be identified as part of the study</w:t>
      </w:r>
    </w:p>
    <w:p w14:paraId="07C186DE" w14:textId="540A1A20" w:rsidR="00EC2AB3" w:rsidRPr="00984DCE" w:rsidRDefault="00984DCE" w:rsidP="00984DCE">
      <w:pPr>
        <w:spacing w:beforeLines="50" w:before="120" w:afterLines="50" w:after="120"/>
        <w:ind w:leftChars="100" w:left="200"/>
      </w:pPr>
      <w:r w:rsidRPr="00984DCE">
        <w:t>I</w:t>
      </w:r>
      <w:r w:rsidRPr="00984DCE">
        <w:rPr>
          <w:rFonts w:hint="eastAsia"/>
        </w:rPr>
        <w:t xml:space="preserve">n </w:t>
      </w:r>
      <w:r w:rsidRPr="00984DCE">
        <w:t xml:space="preserve">this document, a summary of </w:t>
      </w:r>
      <w:r w:rsidR="00DF0AF2" w:rsidRPr="00984DCE">
        <w:t>the contributions under AI 7.2.5.2 at RAN1#9</w:t>
      </w:r>
      <w:r w:rsidRPr="00984DCE">
        <w:t xml:space="preserve">8 are included on </w:t>
      </w:r>
      <w:r w:rsidR="00D425F2" w:rsidRPr="00984DCE">
        <w:t xml:space="preserve">following </w:t>
      </w:r>
      <w:r w:rsidRPr="00984DCE">
        <w:t xml:space="preserve">aspects: </w:t>
      </w:r>
    </w:p>
    <w:p w14:paraId="4A073969" w14:textId="77777777" w:rsidR="00D425F2" w:rsidRDefault="00D425F2" w:rsidP="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Timing and frequency synchronization</w:t>
      </w:r>
    </w:p>
    <w:p w14:paraId="305850D1" w14:textId="71E3D3E8" w:rsidR="00633FF7" w:rsidRDefault="00633FF7" w:rsidP="00BE63A8">
      <w:pPr>
        <w:pStyle w:val="ListParagraph"/>
        <w:numPr>
          <w:ilvl w:val="2"/>
          <w:numId w:val="11"/>
        </w:numPr>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D</w:t>
      </w:r>
      <w:r>
        <w:rPr>
          <w:rFonts w:ascii="Times New Roman" w:eastAsiaTheme="minorEastAsia" w:hAnsi="Times New Roman"/>
          <w:sz w:val="20"/>
          <w:lang w:eastAsia="zh-CN"/>
        </w:rPr>
        <w:t xml:space="preserve">L </w:t>
      </w:r>
    </w:p>
    <w:p w14:paraId="2E8CFD72" w14:textId="19EC5741" w:rsidR="00633FF7" w:rsidRDefault="00633FF7" w:rsidP="00BE63A8">
      <w:pPr>
        <w:pStyle w:val="ListParagraph"/>
        <w:numPr>
          <w:ilvl w:val="2"/>
          <w:numId w:val="11"/>
        </w:numPr>
        <w:jc w:val="both"/>
        <w:rPr>
          <w:rFonts w:ascii="Times New Roman" w:eastAsiaTheme="minorEastAsia" w:hAnsi="Times New Roman"/>
          <w:sz w:val="20"/>
          <w:lang w:eastAsia="zh-CN"/>
        </w:rPr>
      </w:pPr>
      <w:r>
        <w:rPr>
          <w:rFonts w:ascii="Times New Roman" w:eastAsiaTheme="minorEastAsia" w:hAnsi="Times New Roman"/>
          <w:sz w:val="20"/>
          <w:lang w:eastAsia="zh-CN"/>
        </w:rPr>
        <w:t>UL</w:t>
      </w:r>
    </w:p>
    <w:p w14:paraId="65C1A54F" w14:textId="3EF6E2EE" w:rsidR="00061989" w:rsidRDefault="00061989" w:rsidP="00EA1EBF">
      <w:pPr>
        <w:pStyle w:val="ListParagraph"/>
        <w:numPr>
          <w:ilvl w:val="3"/>
          <w:numId w:val="35"/>
        </w:numPr>
        <w:jc w:val="both"/>
        <w:rPr>
          <w:rFonts w:ascii="Times New Roman" w:eastAsiaTheme="minorEastAsia" w:hAnsi="Times New Roman"/>
          <w:sz w:val="20"/>
          <w:lang w:eastAsia="zh-CN"/>
        </w:rPr>
      </w:pPr>
      <w:r>
        <w:rPr>
          <w:rFonts w:ascii="Times New Roman" w:eastAsiaTheme="minorEastAsia" w:hAnsi="Times New Roman"/>
          <w:sz w:val="20"/>
          <w:lang w:eastAsia="zh-CN"/>
        </w:rPr>
        <w:t>Frequency offset</w:t>
      </w:r>
    </w:p>
    <w:p w14:paraId="265FA753" w14:textId="33E02882" w:rsidR="00EC2AB3" w:rsidRPr="00BE63A8" w:rsidRDefault="00D425F2" w:rsidP="00EA1EBF">
      <w:pPr>
        <w:pStyle w:val="ListParagraph"/>
        <w:numPr>
          <w:ilvl w:val="3"/>
          <w:numId w:val="35"/>
        </w:numPr>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Timing advanced  </w:t>
      </w:r>
    </w:p>
    <w:p w14:paraId="3EA2E93A" w14:textId="77777777" w:rsidR="00EC2AB3" w:rsidRDefault="00D425F2" w:rsidP="00EA1EBF">
      <w:pPr>
        <w:pStyle w:val="ListParagraph"/>
        <w:numPr>
          <w:ilvl w:val="4"/>
          <w:numId w:val="36"/>
        </w:numPr>
        <w:jc w:val="both"/>
        <w:rPr>
          <w:rFonts w:ascii="Times New Roman" w:hAnsi="Times New Roman"/>
          <w:sz w:val="20"/>
          <w:lang w:eastAsia="zh-CN"/>
        </w:rPr>
      </w:pPr>
      <w:r>
        <w:rPr>
          <w:rFonts w:ascii="Times New Roman" w:eastAsiaTheme="minorEastAsia" w:hAnsi="Times New Roman"/>
          <w:sz w:val="20"/>
          <w:lang w:eastAsia="zh-CN"/>
        </w:rPr>
        <w:t xml:space="preserve">Initial TA acquisition and indication </w:t>
      </w:r>
    </w:p>
    <w:p w14:paraId="0ADA3A41" w14:textId="77777777" w:rsidR="00EC2AB3" w:rsidRDefault="00D425F2" w:rsidP="00EA1EBF">
      <w:pPr>
        <w:pStyle w:val="ListParagraph"/>
        <w:numPr>
          <w:ilvl w:val="4"/>
          <w:numId w:val="36"/>
        </w:numPr>
        <w:jc w:val="both"/>
        <w:rPr>
          <w:rFonts w:ascii="Times New Roman" w:hAnsi="Times New Roman"/>
          <w:sz w:val="20"/>
          <w:lang w:eastAsia="zh-CN"/>
        </w:rPr>
      </w:pPr>
      <w:r>
        <w:rPr>
          <w:rFonts w:ascii="Times New Roman" w:eastAsiaTheme="minorEastAsia" w:hAnsi="Times New Roman"/>
          <w:sz w:val="20"/>
          <w:lang w:eastAsia="zh-CN"/>
        </w:rPr>
        <w:t>Maintenance of TA</w:t>
      </w:r>
    </w:p>
    <w:p w14:paraId="70F97D77" w14:textId="77777777" w:rsidR="00EC2AB3" w:rsidRDefault="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PRACH</w:t>
      </w:r>
    </w:p>
    <w:p w14:paraId="2E4F44BA"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 xml:space="preserve">PRACH format </w:t>
      </w:r>
    </w:p>
    <w:p w14:paraId="320C6F35"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PRACH procedure</w:t>
      </w:r>
    </w:p>
    <w:p w14:paraId="6E97EB84" w14:textId="77777777" w:rsidR="00EC2AB3" w:rsidRDefault="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Others</w:t>
      </w:r>
    </w:p>
    <w:p w14:paraId="55331147" w14:textId="130FECF9" w:rsidR="00EC2AB3" w:rsidRPr="00CF16CE" w:rsidRDefault="00BA53FC" w:rsidP="00CF16CE">
      <w:pPr>
        <w:snapToGrid w:val="0"/>
        <w:spacing w:beforeLines="50" w:before="120" w:afterLines="50" w:after="120"/>
        <w:ind w:leftChars="100" w:left="200"/>
        <w:rPr>
          <w:rFonts w:eastAsiaTheme="minorEastAsia"/>
          <w:lang w:eastAsia="zh-CN"/>
        </w:rPr>
      </w:pPr>
      <w:r w:rsidRPr="00CF16CE">
        <w:rPr>
          <w:rFonts w:eastAsiaTheme="minorEastAsia"/>
          <w:lang w:eastAsia="zh-CN"/>
        </w:rPr>
        <w:t xml:space="preserve">Detailed </w:t>
      </w:r>
      <w:r w:rsidRPr="00CF16CE">
        <w:rPr>
          <w:rFonts w:eastAsiaTheme="minorEastAsia" w:hint="eastAsia"/>
          <w:lang w:eastAsia="zh-CN"/>
        </w:rPr>
        <w:t>d</w:t>
      </w:r>
      <w:r w:rsidRPr="00CF16CE">
        <w:rPr>
          <w:rFonts w:eastAsiaTheme="minorEastAsia"/>
          <w:lang w:eastAsia="zh-CN"/>
        </w:rPr>
        <w:t>iscussion and proposals are provided under corresponding section</w:t>
      </w:r>
      <w:r w:rsidRPr="00CF16CE">
        <w:rPr>
          <w:rFonts w:eastAsiaTheme="minorEastAsia" w:hint="eastAsia"/>
          <w:lang w:eastAsia="zh-CN"/>
        </w:rPr>
        <w:t>.</w:t>
      </w:r>
      <w:r w:rsidRPr="00CF16CE">
        <w:rPr>
          <w:rFonts w:eastAsiaTheme="minorEastAsia"/>
          <w:lang w:eastAsia="zh-CN"/>
        </w:rPr>
        <w:t xml:space="preserve"> And views from each companies are listed in appendix</w:t>
      </w:r>
      <w:r w:rsidR="00D425F2" w:rsidRPr="00CF16CE">
        <w:rPr>
          <w:rFonts w:eastAsiaTheme="minorEastAsia"/>
          <w:lang w:eastAsia="zh-CN"/>
        </w:rPr>
        <w:t>.</w:t>
      </w:r>
    </w:p>
    <w:p w14:paraId="502338B3" w14:textId="77777777" w:rsidR="00322BFD" w:rsidRDefault="00322BFD"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Timing and f</w:t>
      </w:r>
      <w:r>
        <w:rPr>
          <w:rFonts w:ascii="Times New Roman" w:eastAsia="MS Gothic" w:hAnsi="Times New Roman"/>
          <w:b/>
          <w:kern w:val="28"/>
          <w:sz w:val="28"/>
          <w:lang w:val="en-US" w:eastAsia="ja-JP"/>
        </w:rPr>
        <w:t>requency synchronization</w:t>
      </w:r>
    </w:p>
    <w:p w14:paraId="5CDDC754" w14:textId="77777777" w:rsidR="00282F08" w:rsidRDefault="00AD6758" w:rsidP="00CF16CE">
      <w:pPr>
        <w:snapToGrid w:val="0"/>
        <w:spacing w:beforeLines="50" w:before="120" w:afterLines="50" w:after="120"/>
        <w:ind w:leftChars="100" w:left="200"/>
        <w:rPr>
          <w:rFonts w:eastAsiaTheme="minorEastAsia"/>
          <w:lang w:eastAsia="zh-CN"/>
        </w:rPr>
      </w:pPr>
      <w:r>
        <w:rPr>
          <w:rFonts w:eastAsiaTheme="minorEastAsia"/>
          <w:lang w:eastAsia="zh-CN"/>
        </w:rPr>
        <w:t>T</w:t>
      </w:r>
      <w:r w:rsidR="00274CC9">
        <w:rPr>
          <w:rFonts w:eastAsiaTheme="minorEastAsia"/>
          <w:lang w:eastAsia="zh-CN"/>
        </w:rPr>
        <w:t>he timing</w:t>
      </w:r>
      <w:r w:rsidR="00274CC9">
        <w:rPr>
          <w:rFonts w:eastAsiaTheme="minorEastAsia" w:hint="eastAsia"/>
          <w:lang w:eastAsia="zh-CN"/>
        </w:rPr>
        <w:t>/</w:t>
      </w:r>
      <w:r w:rsidR="00274CC9">
        <w:rPr>
          <w:rFonts w:eastAsiaTheme="minorEastAsia"/>
          <w:lang w:eastAsia="zh-CN"/>
        </w:rPr>
        <w:t>frequency synchronization issues have been discussed for both DL and UL</w:t>
      </w:r>
      <w:r w:rsidR="00282F08">
        <w:rPr>
          <w:rFonts w:eastAsiaTheme="minorEastAsia"/>
          <w:lang w:eastAsia="zh-CN"/>
        </w:rPr>
        <w:t>. More specifically,</w:t>
      </w:r>
    </w:p>
    <w:p w14:paraId="66D5A1E8" w14:textId="10CB725B" w:rsidR="00282F08" w:rsidRPr="005222CE" w:rsidRDefault="00282F08" w:rsidP="00207430">
      <w:pPr>
        <w:pStyle w:val="ListParagraph"/>
        <w:numPr>
          <w:ilvl w:val="0"/>
          <w:numId w:val="13"/>
        </w:numPr>
        <w:snapToGrid w:val="0"/>
        <w:spacing w:beforeLines="50" w:before="120" w:afterLines="50" w:after="120"/>
        <w:rPr>
          <w:rFonts w:ascii="Times New Roman" w:eastAsiaTheme="minorEastAsia" w:hAnsi="Times New Roman"/>
          <w:b/>
          <w:sz w:val="20"/>
          <w:szCs w:val="20"/>
          <w:lang w:eastAsia="zh-CN"/>
        </w:rPr>
      </w:pPr>
      <w:r w:rsidRPr="005222CE">
        <w:rPr>
          <w:rFonts w:ascii="Times New Roman" w:eastAsiaTheme="minorEastAsia" w:hAnsi="Times New Roman"/>
          <w:b/>
          <w:sz w:val="20"/>
          <w:szCs w:val="20"/>
          <w:lang w:eastAsia="zh-CN"/>
        </w:rPr>
        <w:lastRenderedPageBreak/>
        <w:t xml:space="preserve">DL synchronization: </w:t>
      </w:r>
    </w:p>
    <w:p w14:paraId="68471846" w14:textId="59954AC3" w:rsidR="008A1DE8" w:rsidRPr="00896982" w:rsidRDefault="005D3778" w:rsidP="008A1DE8">
      <w:pPr>
        <w:spacing w:beforeLines="50" w:before="120" w:afterLines="50" w:after="120"/>
        <w:ind w:leftChars="310" w:left="620"/>
        <w:jc w:val="both"/>
        <w:rPr>
          <w:rFonts w:eastAsiaTheme="minorEastAsia"/>
          <w:lang w:eastAsia="zh-CN"/>
        </w:rPr>
      </w:pPr>
      <w:r w:rsidRPr="00896982">
        <w:rPr>
          <w:rFonts w:eastAsiaTheme="minorEastAsia"/>
          <w:lang w:val="en-US" w:eastAsia="zh-CN"/>
        </w:rPr>
        <w:t xml:space="preserve">Performance evaluation based </w:t>
      </w:r>
      <w:r w:rsidR="00282F08" w:rsidRPr="00896982">
        <w:rPr>
          <w:rFonts w:eastAsiaTheme="minorEastAsia"/>
          <w:lang w:eastAsia="zh-CN"/>
        </w:rPr>
        <w:t>on the Rel-15 DL RS design (</w:t>
      </w:r>
      <w:r w:rsidR="008A1DE8" w:rsidRPr="00896982">
        <w:rPr>
          <w:rFonts w:eastAsiaTheme="minorEastAsia"/>
          <w:lang w:eastAsia="zh-CN"/>
        </w:rPr>
        <w:t>i.e.</w:t>
      </w:r>
      <w:r w:rsidR="00282F08" w:rsidRPr="00896982">
        <w:rPr>
          <w:rFonts w:eastAsiaTheme="minorEastAsia"/>
          <w:lang w:eastAsia="zh-CN"/>
        </w:rPr>
        <w:t xml:space="preserve">, SSB) </w:t>
      </w:r>
      <w:r w:rsidR="008A1DE8" w:rsidRPr="00896982">
        <w:rPr>
          <w:rFonts w:eastAsiaTheme="minorEastAsia"/>
          <w:lang w:eastAsia="zh-CN"/>
        </w:rPr>
        <w:t>with</w:t>
      </w:r>
      <w:r w:rsidR="00C00441">
        <w:rPr>
          <w:rFonts w:eastAsiaTheme="minorEastAsia"/>
          <w:lang w:eastAsia="zh-CN"/>
        </w:rPr>
        <w:t>/without</w:t>
      </w:r>
      <w:r w:rsidR="008A1DE8" w:rsidRPr="00896982">
        <w:rPr>
          <w:rFonts w:eastAsiaTheme="minorEastAsia"/>
          <w:lang w:eastAsia="zh-CN"/>
        </w:rPr>
        <w:t xml:space="preserve"> consideration on the pre-compensation of frequency offset at satellite side in beam specific way have been conducted:</w:t>
      </w:r>
    </w:p>
    <w:p w14:paraId="385AC01C" w14:textId="2EF3F5D5" w:rsidR="008A1DE8" w:rsidRPr="00896982" w:rsidRDefault="00EF297B" w:rsidP="00207430">
      <w:pPr>
        <w:pStyle w:val="ListParagraph"/>
        <w:numPr>
          <w:ilvl w:val="1"/>
          <w:numId w:val="13"/>
        </w:numPr>
        <w:spacing w:beforeLines="50" w:before="120"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Results</w:t>
      </w:r>
      <w:r w:rsidR="008A1DE8" w:rsidRPr="00896982">
        <w:rPr>
          <w:rFonts w:ascii="Times New Roman" w:eastAsiaTheme="minorEastAsia" w:hAnsi="Times New Roman"/>
          <w:sz w:val="20"/>
          <w:szCs w:val="20"/>
          <w:lang w:val="en-GB" w:eastAsia="zh-CN"/>
        </w:rPr>
        <w:t xml:space="preserve"> from [HW, ZTE</w:t>
      </w:r>
      <w:r w:rsidR="00943E2E">
        <w:rPr>
          <w:rFonts w:ascii="Times New Roman" w:eastAsiaTheme="minorEastAsia" w:hAnsi="Times New Roman"/>
          <w:sz w:val="20"/>
          <w:szCs w:val="20"/>
          <w:lang w:val="en-GB" w:eastAsia="zh-CN"/>
        </w:rPr>
        <w:t>, CATT</w:t>
      </w:r>
      <w:r w:rsidR="008B7B59">
        <w:rPr>
          <w:rFonts w:ascii="Times New Roman" w:eastAsiaTheme="minorEastAsia" w:hAnsi="Times New Roman"/>
          <w:sz w:val="20"/>
          <w:szCs w:val="20"/>
          <w:lang w:val="en-GB" w:eastAsia="zh-CN"/>
        </w:rPr>
        <w:t>,</w:t>
      </w:r>
      <w:r w:rsidR="008B7B59" w:rsidRPr="008B7B59">
        <w:rPr>
          <w:rFonts w:ascii="Times New Roman" w:eastAsiaTheme="minorEastAsia" w:hAnsi="Times New Roman"/>
          <w:sz w:val="20"/>
          <w:szCs w:val="20"/>
          <w:lang w:eastAsia="zh-CN"/>
        </w:rPr>
        <w:t xml:space="preserve"> CAICT</w:t>
      </w:r>
      <w:r w:rsidR="008A1DE8" w:rsidRPr="00896982">
        <w:rPr>
          <w:rFonts w:ascii="Times New Roman" w:eastAsiaTheme="minorEastAsia" w:hAnsi="Times New Roman"/>
          <w:sz w:val="20"/>
          <w:szCs w:val="20"/>
          <w:lang w:val="en-GB" w:eastAsia="zh-CN"/>
        </w:rPr>
        <w:t xml:space="preserve">] demonstrates that the robust performance on detection of </w:t>
      </w:r>
      <w:r w:rsidR="00480B83" w:rsidRPr="00896982">
        <w:rPr>
          <w:rFonts w:ascii="Times New Roman" w:eastAsiaTheme="minorEastAsia" w:hAnsi="Times New Roman"/>
          <w:sz w:val="20"/>
          <w:szCs w:val="20"/>
          <w:lang w:val="en-GB" w:eastAsia="zh-CN"/>
        </w:rPr>
        <w:t>SSB can</w:t>
      </w:r>
      <w:r w:rsidR="008A1DE8" w:rsidRPr="00896982">
        <w:rPr>
          <w:rFonts w:ascii="Times New Roman" w:eastAsiaTheme="minorEastAsia" w:hAnsi="Times New Roman"/>
          <w:sz w:val="20"/>
          <w:szCs w:val="20"/>
          <w:lang w:val="en-GB" w:eastAsia="zh-CN"/>
        </w:rPr>
        <w:t xml:space="preserve"> be achieved by Rel-15 SSB design. But </w:t>
      </w:r>
      <w:r w:rsidR="000A71C6" w:rsidRPr="00896982">
        <w:rPr>
          <w:rFonts w:ascii="Times New Roman" w:eastAsiaTheme="minorEastAsia" w:hAnsi="Times New Roman"/>
          <w:sz w:val="20"/>
          <w:szCs w:val="20"/>
          <w:lang w:val="en-GB" w:eastAsia="zh-CN"/>
        </w:rPr>
        <w:t>degraded performance is shown by [SS,</w:t>
      </w:r>
      <w:r w:rsidR="00D63D3C">
        <w:rPr>
          <w:rFonts w:ascii="Times New Roman" w:eastAsiaTheme="minorEastAsia" w:hAnsi="Times New Roman"/>
          <w:sz w:val="20"/>
          <w:szCs w:val="20"/>
          <w:lang w:val="en-GB" w:eastAsia="zh-CN"/>
        </w:rPr>
        <w:t xml:space="preserve"> </w:t>
      </w:r>
      <w:r w:rsidR="00480B83">
        <w:rPr>
          <w:rFonts w:ascii="Times New Roman" w:eastAsiaTheme="minorEastAsia" w:hAnsi="Times New Roman"/>
          <w:sz w:val="20"/>
          <w:szCs w:val="20"/>
          <w:lang w:val="en-GB" w:eastAsia="zh-CN"/>
        </w:rPr>
        <w:t>S</w:t>
      </w:r>
      <w:r w:rsidR="000A71C6" w:rsidRPr="00896982">
        <w:rPr>
          <w:rFonts w:ascii="Times New Roman" w:eastAsiaTheme="minorEastAsia" w:hAnsi="Times New Roman"/>
          <w:sz w:val="20"/>
          <w:szCs w:val="20"/>
          <w:lang w:val="en-GB" w:eastAsia="zh-CN"/>
        </w:rPr>
        <w:t>ony]. In case of degradation, performance enhancement</w:t>
      </w:r>
      <w:r w:rsidR="003511F6">
        <w:rPr>
          <w:rFonts w:ascii="Times New Roman" w:eastAsiaTheme="minorEastAsia" w:hAnsi="Times New Roman"/>
          <w:sz w:val="20"/>
          <w:szCs w:val="20"/>
          <w:lang w:val="en-GB" w:eastAsia="zh-CN"/>
        </w:rPr>
        <w:t>s</w:t>
      </w:r>
      <w:r w:rsidR="000A71C6" w:rsidRPr="00896982">
        <w:rPr>
          <w:rFonts w:ascii="Times New Roman" w:eastAsiaTheme="minorEastAsia" w:hAnsi="Times New Roman"/>
          <w:sz w:val="20"/>
          <w:szCs w:val="20"/>
          <w:lang w:val="en-GB" w:eastAsia="zh-CN"/>
        </w:rPr>
        <w:t xml:space="preserve"> on SSB, e.g., larger SCS, are proposed</w:t>
      </w:r>
      <w:r w:rsidR="00836D17">
        <w:rPr>
          <w:rFonts w:ascii="Times New Roman" w:eastAsiaTheme="minorEastAsia" w:hAnsi="Times New Roman"/>
          <w:sz w:val="20"/>
          <w:szCs w:val="20"/>
          <w:lang w:val="en-GB" w:eastAsia="zh-CN"/>
        </w:rPr>
        <w:t>.</w:t>
      </w:r>
    </w:p>
    <w:p w14:paraId="7140E395" w14:textId="1426A8E8" w:rsidR="00595534" w:rsidRDefault="000A71C6" w:rsidP="00B4264E">
      <w:pPr>
        <w:pStyle w:val="ListParagraph"/>
        <w:numPr>
          <w:ilvl w:val="1"/>
          <w:numId w:val="13"/>
        </w:numPr>
        <w:spacing w:beforeLines="50" w:before="120" w:afterLines="50" w:after="120"/>
        <w:jc w:val="both"/>
        <w:rPr>
          <w:rFonts w:ascii="Times New Roman" w:eastAsiaTheme="minorEastAsia" w:hAnsi="Times New Roman"/>
          <w:sz w:val="20"/>
          <w:szCs w:val="20"/>
          <w:lang w:eastAsia="zh-CN"/>
        </w:rPr>
      </w:pPr>
      <w:r w:rsidRPr="009E7A16">
        <w:rPr>
          <w:rFonts w:ascii="Times New Roman" w:eastAsiaTheme="minorEastAsia" w:hAnsi="Times New Roman"/>
          <w:sz w:val="20"/>
          <w:szCs w:val="20"/>
          <w:lang w:val="en-GB" w:eastAsia="zh-CN"/>
        </w:rPr>
        <w:t xml:space="preserve">W.r.t the timing/frequency tracking, </w:t>
      </w:r>
      <w:r w:rsidR="005944C5" w:rsidRPr="009E7A16">
        <w:rPr>
          <w:rFonts w:ascii="Times New Roman" w:eastAsiaTheme="minorEastAsia" w:hAnsi="Times New Roman"/>
          <w:sz w:val="20"/>
          <w:szCs w:val="20"/>
          <w:lang w:val="en-GB" w:eastAsia="zh-CN"/>
        </w:rPr>
        <w:t xml:space="preserve">considering the movement of satellite, </w:t>
      </w:r>
      <w:r w:rsidR="001D0ABC" w:rsidRPr="009E7A16">
        <w:rPr>
          <w:rFonts w:ascii="Times New Roman" w:eastAsiaTheme="minorEastAsia" w:hAnsi="Times New Roman"/>
          <w:sz w:val="20"/>
          <w:szCs w:val="20"/>
          <w:lang w:val="en-GB" w:eastAsia="zh-CN"/>
        </w:rPr>
        <w:t>further</w:t>
      </w:r>
      <w:r w:rsidR="005944C5" w:rsidRPr="009E7A16">
        <w:rPr>
          <w:rFonts w:ascii="Times New Roman" w:eastAsiaTheme="minorEastAsia" w:hAnsi="Times New Roman"/>
          <w:sz w:val="20"/>
          <w:szCs w:val="20"/>
          <w:lang w:val="en-GB" w:eastAsia="zh-CN"/>
        </w:rPr>
        <w:t xml:space="preserve"> investigations</w:t>
      </w:r>
      <w:r w:rsidR="00392FDB" w:rsidRPr="009E7A16">
        <w:rPr>
          <w:rFonts w:ascii="Times New Roman" w:eastAsiaTheme="minorEastAsia" w:hAnsi="Times New Roman"/>
          <w:sz w:val="20"/>
          <w:szCs w:val="20"/>
          <w:lang w:val="en-GB" w:eastAsia="zh-CN"/>
        </w:rPr>
        <w:t>, e.g., acquisition of DL timing/Doppler drifts</w:t>
      </w:r>
      <w:r w:rsidR="009F4E73" w:rsidRPr="009E7A16">
        <w:rPr>
          <w:rFonts w:ascii="Times New Roman" w:eastAsiaTheme="minorEastAsia" w:hAnsi="Times New Roman"/>
          <w:sz w:val="20"/>
          <w:szCs w:val="20"/>
          <w:lang w:val="en-GB" w:eastAsia="zh-CN"/>
        </w:rPr>
        <w:t>,</w:t>
      </w:r>
      <w:r w:rsidR="005944C5" w:rsidRPr="009E7A16">
        <w:rPr>
          <w:rFonts w:ascii="Times New Roman" w:eastAsiaTheme="minorEastAsia" w:hAnsi="Times New Roman"/>
          <w:sz w:val="20"/>
          <w:szCs w:val="20"/>
          <w:lang w:val="en-GB" w:eastAsia="zh-CN"/>
        </w:rPr>
        <w:t xml:space="preserve"> are suggested by [HW,</w:t>
      </w:r>
      <w:r w:rsidR="008B7B59" w:rsidRPr="008B7B59">
        <w:rPr>
          <w:rFonts w:ascii="Times New Roman" w:eastAsiaTheme="minorEastAsia" w:hAnsi="Times New Roman"/>
          <w:sz w:val="20"/>
          <w:szCs w:val="20"/>
          <w:lang w:eastAsia="zh-CN"/>
        </w:rPr>
        <w:t xml:space="preserve"> CAICT</w:t>
      </w:r>
      <w:r w:rsidR="008B7B59">
        <w:rPr>
          <w:rFonts w:ascii="Times New Roman" w:eastAsiaTheme="minorEastAsia" w:hAnsi="Times New Roman"/>
          <w:sz w:val="20"/>
          <w:szCs w:val="20"/>
          <w:lang w:eastAsia="zh-CN"/>
        </w:rPr>
        <w:t>,</w:t>
      </w:r>
      <w:r w:rsidR="005944C5" w:rsidRPr="009E7A16">
        <w:rPr>
          <w:rFonts w:ascii="Times New Roman" w:eastAsiaTheme="minorEastAsia" w:hAnsi="Times New Roman"/>
          <w:sz w:val="20"/>
          <w:szCs w:val="20"/>
          <w:lang w:val="en-GB" w:eastAsia="zh-CN"/>
        </w:rPr>
        <w:t xml:space="preserve"> Ericsson</w:t>
      </w:r>
      <w:r w:rsidR="00747A25" w:rsidRPr="009E7A16">
        <w:rPr>
          <w:rFonts w:ascii="Times New Roman" w:eastAsiaTheme="minorEastAsia" w:hAnsi="Times New Roman"/>
          <w:sz w:val="20"/>
          <w:szCs w:val="20"/>
          <w:lang w:val="en-GB" w:eastAsia="zh-CN"/>
        </w:rPr>
        <w:t>,</w:t>
      </w:r>
      <w:r w:rsidR="00C9111C" w:rsidRPr="009E7A16">
        <w:rPr>
          <w:rFonts w:ascii="Times New Roman" w:eastAsiaTheme="minorEastAsia" w:hAnsi="Times New Roman"/>
          <w:sz w:val="20"/>
          <w:szCs w:val="20"/>
          <w:lang w:val="en-GB" w:eastAsia="zh-CN"/>
        </w:rPr>
        <w:t xml:space="preserve"> </w:t>
      </w:r>
      <w:r w:rsidR="001F2DA7" w:rsidRPr="009E7A16">
        <w:rPr>
          <w:rFonts w:ascii="Times New Roman" w:eastAsiaTheme="minorEastAsia" w:hAnsi="Times New Roman"/>
          <w:sz w:val="20"/>
          <w:szCs w:val="20"/>
          <w:lang w:val="en-GB" w:eastAsia="zh-CN"/>
        </w:rPr>
        <w:t>ZTE</w:t>
      </w:r>
      <w:r w:rsidR="005944C5" w:rsidRPr="009E7A16">
        <w:rPr>
          <w:rFonts w:ascii="Times New Roman" w:eastAsiaTheme="minorEastAsia" w:hAnsi="Times New Roman"/>
          <w:sz w:val="20"/>
          <w:szCs w:val="20"/>
          <w:lang w:val="en-GB" w:eastAsia="zh-CN"/>
        </w:rPr>
        <w:t>]</w:t>
      </w:r>
      <w:r w:rsidR="00C30FF8" w:rsidRPr="009E7A16">
        <w:rPr>
          <w:rFonts w:ascii="Times New Roman" w:eastAsiaTheme="minorEastAsia" w:hAnsi="Times New Roman" w:hint="eastAsia"/>
          <w:sz w:val="20"/>
          <w:szCs w:val="20"/>
          <w:lang w:val="en-GB" w:eastAsia="zh-CN"/>
        </w:rPr>
        <w:t>.</w:t>
      </w:r>
      <w:r w:rsidR="00C30FF8" w:rsidRPr="009E7A16">
        <w:rPr>
          <w:rFonts w:ascii="Times New Roman" w:eastAsiaTheme="minorEastAsia" w:hAnsi="Times New Roman"/>
          <w:sz w:val="20"/>
          <w:szCs w:val="20"/>
          <w:lang w:val="en-GB" w:eastAsia="zh-CN"/>
        </w:rPr>
        <w:t xml:space="preserve"> </w:t>
      </w:r>
      <w:r w:rsidR="004873B1">
        <w:rPr>
          <w:rFonts w:ascii="Times New Roman" w:eastAsiaTheme="minorEastAsia" w:hAnsi="Times New Roman"/>
          <w:sz w:val="20"/>
          <w:szCs w:val="20"/>
          <w:lang w:val="en-GB" w:eastAsia="zh-CN"/>
        </w:rPr>
        <w:t>A</w:t>
      </w:r>
      <w:r w:rsidR="00595534">
        <w:rPr>
          <w:rFonts w:ascii="Times New Roman" w:eastAsiaTheme="minorEastAsia" w:hAnsi="Times New Roman"/>
          <w:sz w:val="20"/>
          <w:szCs w:val="20"/>
          <w:lang w:val="en-GB" w:eastAsia="zh-CN"/>
        </w:rPr>
        <w:t xml:space="preserve">dditional </w:t>
      </w:r>
      <w:r w:rsidR="00D65B74">
        <w:rPr>
          <w:rFonts w:ascii="Times New Roman" w:eastAsiaTheme="minorEastAsia" w:hAnsi="Times New Roman"/>
          <w:sz w:val="20"/>
          <w:szCs w:val="20"/>
          <w:lang w:val="en-GB" w:eastAsia="zh-CN"/>
        </w:rPr>
        <w:t>evaluation on the frequency tracking due to the existence</w:t>
      </w:r>
      <w:r w:rsidR="00595534">
        <w:rPr>
          <w:rFonts w:ascii="Times New Roman" w:eastAsiaTheme="minorEastAsia" w:hAnsi="Times New Roman"/>
          <w:sz w:val="20"/>
          <w:szCs w:val="20"/>
          <w:lang w:val="en-GB" w:eastAsia="zh-CN"/>
        </w:rPr>
        <w:t xml:space="preserve"> of pre-configured common Doppler per beam </w:t>
      </w:r>
      <w:r w:rsidR="00BA524E">
        <w:rPr>
          <w:rFonts w:ascii="Times New Roman" w:eastAsiaTheme="minorEastAsia" w:hAnsi="Times New Roman"/>
          <w:sz w:val="20"/>
          <w:szCs w:val="20"/>
          <w:lang w:val="en-GB" w:eastAsia="zh-CN"/>
        </w:rPr>
        <w:t>is mentioned by [Thales]</w:t>
      </w:r>
      <w:r w:rsidR="00D65B74">
        <w:rPr>
          <w:rFonts w:ascii="Times New Roman" w:eastAsiaTheme="minorEastAsia" w:hAnsi="Times New Roman"/>
          <w:sz w:val="20"/>
          <w:szCs w:val="20"/>
          <w:lang w:val="en-GB" w:eastAsia="zh-CN"/>
        </w:rPr>
        <w:t xml:space="preserve"> in case of </w:t>
      </w:r>
      <w:r w:rsidR="00595534" w:rsidRPr="009E7A16">
        <w:rPr>
          <w:rFonts w:ascii="Times New Roman" w:eastAsiaTheme="minorEastAsia" w:hAnsi="Times New Roman"/>
          <w:sz w:val="20"/>
          <w:szCs w:val="20"/>
          <w:lang w:val="en-GB" w:eastAsia="zh-CN"/>
        </w:rPr>
        <w:t>handover or beam switching procedure</w:t>
      </w:r>
      <w:r w:rsidR="00D65B74">
        <w:rPr>
          <w:rFonts w:ascii="Times New Roman" w:eastAsiaTheme="minorEastAsia" w:hAnsi="Times New Roman"/>
          <w:sz w:val="20"/>
          <w:szCs w:val="20"/>
          <w:lang w:val="en-GB" w:eastAsia="zh-CN"/>
        </w:rPr>
        <w:t>.</w:t>
      </w:r>
      <w:r w:rsidR="00943E2E" w:rsidRPr="009E7A16">
        <w:rPr>
          <w:rFonts w:ascii="Times New Roman" w:eastAsiaTheme="minorEastAsia" w:hAnsi="Times New Roman"/>
          <w:sz w:val="20"/>
          <w:szCs w:val="20"/>
          <w:lang w:eastAsia="zh-CN"/>
        </w:rPr>
        <w:t xml:space="preserve"> </w:t>
      </w:r>
    </w:p>
    <w:p w14:paraId="148F0981" w14:textId="68790348" w:rsidR="00A461D4" w:rsidRDefault="000E54B7" w:rsidP="00A461D4">
      <w:pPr>
        <w:pStyle w:val="ListParagraph"/>
        <w:spacing w:beforeLines="50" w:before="120" w:afterLines="50" w:after="120"/>
        <w:ind w:left="1129"/>
        <w:jc w:val="both"/>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Moreover</w:t>
      </w:r>
      <w:r w:rsidR="00A461D4">
        <w:rPr>
          <w:rFonts w:ascii="Times New Roman" w:eastAsiaTheme="minorEastAsia" w:hAnsi="Times New Roman"/>
          <w:sz w:val="20"/>
          <w:szCs w:val="20"/>
          <w:lang w:val="en-GB" w:eastAsia="zh-CN"/>
        </w:rPr>
        <w:t xml:space="preserve"> [CATT</w:t>
      </w:r>
      <w:r w:rsidR="008B7B59">
        <w:rPr>
          <w:rFonts w:ascii="Times New Roman" w:eastAsiaTheme="minorEastAsia" w:hAnsi="Times New Roman"/>
          <w:sz w:val="20"/>
          <w:szCs w:val="20"/>
          <w:lang w:val="en-GB" w:eastAsia="zh-CN"/>
        </w:rPr>
        <w:t>,</w:t>
      </w:r>
      <w:r w:rsidR="008B7B59" w:rsidRPr="008B7B59">
        <w:rPr>
          <w:rFonts w:ascii="Times New Roman" w:eastAsiaTheme="minorEastAsia" w:hAnsi="Times New Roman"/>
          <w:sz w:val="20"/>
          <w:szCs w:val="20"/>
          <w:lang w:eastAsia="zh-CN"/>
        </w:rPr>
        <w:t xml:space="preserve"> CAICT</w:t>
      </w:r>
      <w:r w:rsidR="00A461D4">
        <w:rPr>
          <w:rFonts w:ascii="Times New Roman" w:eastAsiaTheme="minorEastAsia" w:hAnsi="Times New Roman"/>
          <w:sz w:val="20"/>
          <w:szCs w:val="20"/>
          <w:lang w:val="en-GB" w:eastAsia="zh-CN"/>
        </w:rPr>
        <w:t>]</w:t>
      </w:r>
      <w:r w:rsidR="008B7B59">
        <w:rPr>
          <w:rFonts w:ascii="Times New Roman" w:eastAsiaTheme="minorEastAsia" w:hAnsi="Times New Roman"/>
          <w:sz w:val="20"/>
          <w:szCs w:val="20"/>
          <w:lang w:val="en-GB" w:eastAsia="zh-CN"/>
        </w:rPr>
        <w:t>,</w:t>
      </w:r>
      <w:r w:rsidR="00A461D4">
        <w:rPr>
          <w:rFonts w:ascii="Times New Roman" w:eastAsiaTheme="minorEastAsia" w:hAnsi="Times New Roman"/>
          <w:sz w:val="20"/>
          <w:szCs w:val="20"/>
          <w:lang w:val="en-GB" w:eastAsia="zh-CN"/>
        </w:rPr>
        <w:t xml:space="preserve"> highlight that this value is transparent to UE.</w:t>
      </w:r>
    </w:p>
    <w:p w14:paraId="3B81D012" w14:textId="67EEB6AE" w:rsidR="00282F08" w:rsidRPr="005222CE" w:rsidRDefault="00282F08" w:rsidP="00BE63A8">
      <w:pPr>
        <w:pStyle w:val="ListParagraph"/>
        <w:numPr>
          <w:ilvl w:val="0"/>
          <w:numId w:val="13"/>
        </w:numPr>
        <w:snapToGrid w:val="0"/>
        <w:spacing w:beforeLines="50" w:before="120" w:afterLines="50" w:after="120"/>
        <w:ind w:left="646" w:hanging="357"/>
        <w:rPr>
          <w:rFonts w:ascii="Times New Roman" w:eastAsiaTheme="minorEastAsia" w:hAnsi="Times New Roman"/>
          <w:b/>
          <w:sz w:val="20"/>
          <w:szCs w:val="20"/>
          <w:lang w:eastAsia="zh-CN"/>
        </w:rPr>
      </w:pPr>
      <w:r w:rsidRPr="005222CE">
        <w:rPr>
          <w:rFonts w:ascii="Times New Roman" w:eastAsiaTheme="minorEastAsia" w:hAnsi="Times New Roman"/>
          <w:b/>
          <w:sz w:val="20"/>
          <w:szCs w:val="20"/>
          <w:lang w:eastAsia="zh-CN"/>
        </w:rPr>
        <w:t>UL synchronization:</w:t>
      </w:r>
    </w:p>
    <w:p w14:paraId="7C16961D" w14:textId="5AE48F00" w:rsidR="00AC3D5C" w:rsidRDefault="004B06B7" w:rsidP="00CF16CE">
      <w:pPr>
        <w:pStyle w:val="ListParagraph"/>
        <w:spacing w:beforeLines="50" w:before="120" w:afterLines="50" w:after="120"/>
        <w:ind w:leftChars="310" w:left="620"/>
        <w:jc w:val="both"/>
        <w:rPr>
          <w:rFonts w:ascii="Times New Roman" w:hAnsi="Times New Roman"/>
          <w:sz w:val="20"/>
          <w:szCs w:val="20"/>
          <w:lang w:eastAsia="zh-CN"/>
        </w:rPr>
      </w:pPr>
      <w:r>
        <w:rPr>
          <w:rFonts w:ascii="Times New Roman" w:hAnsi="Times New Roman"/>
          <w:sz w:val="20"/>
          <w:szCs w:val="20"/>
          <w:lang w:eastAsia="zh-CN"/>
        </w:rPr>
        <w:t>Discussion on how to handle</w:t>
      </w:r>
      <w:r w:rsidR="00C6616A">
        <w:rPr>
          <w:rFonts w:ascii="Times New Roman" w:hAnsi="Times New Roman"/>
          <w:sz w:val="20"/>
          <w:szCs w:val="20"/>
          <w:lang w:eastAsia="zh-CN"/>
        </w:rPr>
        <w:t xml:space="preserve"> the impacts of </w:t>
      </w:r>
      <w:r w:rsidR="002B00F3">
        <w:rPr>
          <w:rFonts w:ascii="Times New Roman" w:hAnsi="Times New Roman"/>
          <w:sz w:val="20"/>
          <w:szCs w:val="20"/>
          <w:lang w:eastAsia="zh-CN"/>
        </w:rPr>
        <w:t>t</w:t>
      </w:r>
      <w:r w:rsidR="00010BDA">
        <w:rPr>
          <w:rFonts w:ascii="Times New Roman" w:hAnsi="Times New Roman"/>
          <w:sz w:val="20"/>
          <w:szCs w:val="20"/>
          <w:lang w:eastAsia="zh-CN"/>
        </w:rPr>
        <w:t>iming/</w:t>
      </w:r>
      <w:r w:rsidR="00836858">
        <w:rPr>
          <w:rFonts w:ascii="Times New Roman" w:hAnsi="Times New Roman"/>
          <w:sz w:val="20"/>
          <w:szCs w:val="20"/>
          <w:lang w:eastAsia="zh-CN"/>
        </w:rPr>
        <w:t>frequency offset</w:t>
      </w:r>
      <w:r w:rsidR="00C6616A">
        <w:rPr>
          <w:rFonts w:ascii="Times New Roman" w:hAnsi="Times New Roman"/>
          <w:sz w:val="20"/>
          <w:szCs w:val="20"/>
          <w:lang w:eastAsia="zh-CN"/>
        </w:rPr>
        <w:t xml:space="preserve"> are </w:t>
      </w:r>
      <w:r>
        <w:rPr>
          <w:rFonts w:ascii="Times New Roman" w:hAnsi="Times New Roman"/>
          <w:sz w:val="20"/>
          <w:szCs w:val="20"/>
          <w:lang w:eastAsia="zh-CN"/>
        </w:rPr>
        <w:t>conducted by companies</w:t>
      </w:r>
      <w:r w:rsidR="00C6616A">
        <w:rPr>
          <w:rFonts w:ascii="Times New Roman" w:hAnsi="Times New Roman"/>
          <w:sz w:val="20"/>
          <w:szCs w:val="20"/>
          <w:lang w:eastAsia="zh-CN"/>
        </w:rPr>
        <w:t xml:space="preserve"> with different views</w:t>
      </w:r>
      <w:r w:rsidR="000F441B">
        <w:rPr>
          <w:rFonts w:ascii="Times New Roman" w:hAnsi="Times New Roman"/>
          <w:sz w:val="20"/>
          <w:szCs w:val="20"/>
          <w:lang w:eastAsia="zh-CN"/>
        </w:rPr>
        <w:t>, e.g. open/closed loop method</w:t>
      </w:r>
      <w:r>
        <w:rPr>
          <w:rFonts w:ascii="Times New Roman" w:hAnsi="Times New Roman"/>
          <w:sz w:val="20"/>
          <w:szCs w:val="20"/>
          <w:lang w:eastAsia="zh-CN"/>
        </w:rPr>
        <w:t>.</w:t>
      </w:r>
      <w:r w:rsidR="00AC3D5C">
        <w:rPr>
          <w:rFonts w:ascii="Times New Roman" w:hAnsi="Times New Roman"/>
          <w:sz w:val="20"/>
          <w:szCs w:val="20"/>
          <w:lang w:eastAsia="zh-CN"/>
        </w:rPr>
        <w:t xml:space="preserve"> For aligning the views, as proposed by [Ericsson], clarification on the definition of closed/o</w:t>
      </w:r>
      <w:r w:rsidR="002B00F3">
        <w:rPr>
          <w:rFonts w:ascii="Times New Roman" w:hAnsi="Times New Roman"/>
          <w:sz w:val="20"/>
          <w:szCs w:val="20"/>
          <w:lang w:eastAsia="zh-CN"/>
        </w:rPr>
        <w:t>pen loop methods should be done firstly.</w:t>
      </w:r>
    </w:p>
    <w:p w14:paraId="236D03E7" w14:textId="37A7E5E9" w:rsidR="006F1F7C" w:rsidRPr="00FF4C0A" w:rsidRDefault="006F1F7C" w:rsidP="006F1F7C">
      <w:pPr>
        <w:snapToGrid w:val="0"/>
        <w:spacing w:beforeLines="50" w:before="120" w:afterLines="50" w:after="120"/>
        <w:ind w:leftChars="266" w:left="532" w:firstLine="88"/>
        <w:jc w:val="both"/>
        <w:rPr>
          <w:b/>
          <w:i/>
          <w:color w:val="000000" w:themeColor="text1"/>
          <w:lang w:eastAsia="zh-CN"/>
        </w:rPr>
      </w:pPr>
      <w:r w:rsidRPr="00171832">
        <w:rPr>
          <w:color w:val="000000" w:themeColor="text1"/>
          <w:lang w:val="en-US" w:eastAsia="zh-CN"/>
        </w:rPr>
        <w:t xml:space="preserve">Based on the above </w:t>
      </w:r>
      <w:r>
        <w:rPr>
          <w:color w:val="000000" w:themeColor="text1"/>
          <w:lang w:val="en-US" w:eastAsia="zh-CN"/>
        </w:rPr>
        <w:t xml:space="preserve">summary and previous </w:t>
      </w:r>
      <w:r w:rsidR="00C93BFF">
        <w:rPr>
          <w:color w:val="000000" w:themeColor="text1"/>
          <w:lang w:val="en-US" w:eastAsia="zh-CN"/>
        </w:rPr>
        <w:t>discussion</w:t>
      </w:r>
      <w:r w:rsidRPr="00171832">
        <w:rPr>
          <w:color w:val="000000" w:themeColor="text1"/>
          <w:lang w:val="en-US" w:eastAsia="zh-CN"/>
        </w:rPr>
        <w:t>, following proposal</w:t>
      </w:r>
      <w:r w:rsidR="00EC7CDC">
        <w:rPr>
          <w:color w:val="000000" w:themeColor="text1"/>
          <w:lang w:val="en-US" w:eastAsia="zh-CN"/>
        </w:rPr>
        <w:t xml:space="preserve"> is </w:t>
      </w:r>
      <w:r>
        <w:rPr>
          <w:color w:val="000000" w:themeColor="text1"/>
          <w:lang w:val="en-US" w:eastAsia="zh-CN"/>
        </w:rPr>
        <w:t>provided</w:t>
      </w:r>
      <w:r w:rsidRPr="00171832">
        <w:rPr>
          <w:color w:val="000000" w:themeColor="text1"/>
          <w:lang w:val="en-US" w:eastAsia="zh-CN"/>
        </w:rPr>
        <w:t>:</w:t>
      </w:r>
    </w:p>
    <w:p w14:paraId="7855E98B" w14:textId="781640F6" w:rsidR="00AC3D5C" w:rsidRPr="006258B1" w:rsidRDefault="00AC3D5C" w:rsidP="00475A3B">
      <w:pPr>
        <w:snapToGrid w:val="0"/>
        <w:spacing w:beforeLines="50" w:before="120" w:afterLines="50" w:after="120"/>
        <w:ind w:leftChars="300" w:left="600"/>
        <w:jc w:val="both"/>
        <w:rPr>
          <w:i/>
          <w:color w:val="000000" w:themeColor="text1"/>
          <w:lang w:eastAsia="zh-CN"/>
        </w:rPr>
      </w:pPr>
      <w:r w:rsidRPr="006258B1">
        <w:rPr>
          <w:b/>
          <w:i/>
          <w:color w:val="000000" w:themeColor="text1"/>
          <w:lang w:eastAsia="zh-CN"/>
        </w:rPr>
        <w:t xml:space="preserve">Proposal </w:t>
      </w:r>
      <w:r w:rsidR="00D25A56">
        <w:rPr>
          <w:b/>
          <w:i/>
          <w:color w:val="000000" w:themeColor="text1"/>
          <w:lang w:eastAsia="zh-CN"/>
        </w:rPr>
        <w:t>2</w:t>
      </w:r>
      <w:r w:rsidRPr="006258B1">
        <w:rPr>
          <w:b/>
          <w:i/>
          <w:color w:val="000000" w:themeColor="text1"/>
          <w:lang w:eastAsia="zh-CN"/>
        </w:rPr>
        <w:t xml:space="preserve">: </w:t>
      </w:r>
      <w:r w:rsidRPr="006258B1">
        <w:rPr>
          <w:i/>
          <w:color w:val="000000" w:themeColor="text1"/>
          <w:lang w:eastAsia="zh-CN"/>
        </w:rPr>
        <w:t xml:space="preserve">Capturing the following definition </w:t>
      </w:r>
      <w:r w:rsidR="00FE1F31">
        <w:rPr>
          <w:i/>
          <w:color w:val="000000" w:themeColor="text1"/>
          <w:lang w:eastAsia="zh-CN"/>
        </w:rPr>
        <w:t xml:space="preserve">of </w:t>
      </w:r>
      <w:r w:rsidRPr="006258B1">
        <w:rPr>
          <w:i/>
          <w:color w:val="000000" w:themeColor="text1"/>
          <w:lang w:eastAsia="zh-CN"/>
        </w:rPr>
        <w:t>terminology into TR38.8</w:t>
      </w:r>
      <w:r w:rsidR="00345AC1">
        <w:rPr>
          <w:i/>
          <w:color w:val="000000" w:themeColor="text1"/>
          <w:lang w:eastAsia="zh-CN"/>
        </w:rPr>
        <w:t>2</w:t>
      </w:r>
      <w:r w:rsidRPr="006258B1">
        <w:rPr>
          <w:i/>
          <w:color w:val="000000" w:themeColor="text1"/>
          <w:lang w:eastAsia="zh-CN"/>
        </w:rPr>
        <w:t>1 for UL synchronization</w:t>
      </w:r>
    </w:p>
    <w:p w14:paraId="12ED694B" w14:textId="57A630F9" w:rsidR="00AC3D5C" w:rsidRPr="00116329" w:rsidRDefault="00AC3D5C" w:rsidP="00475A3B">
      <w:pPr>
        <w:pStyle w:val="ListParagraph"/>
        <w:numPr>
          <w:ilvl w:val="1"/>
          <w:numId w:val="12"/>
        </w:numPr>
        <w:snapToGrid w:val="0"/>
        <w:spacing w:beforeLines="50" w:before="120" w:afterLines="50" w:after="120"/>
        <w:ind w:leftChars="654" w:left="1728"/>
        <w:jc w:val="both"/>
        <w:rPr>
          <w:rFonts w:ascii="Times New Roman" w:eastAsia="宋体" w:hAnsi="Times New Roman"/>
          <w:i/>
          <w:color w:val="000000" w:themeColor="text1"/>
          <w:sz w:val="20"/>
          <w:szCs w:val="20"/>
          <w:lang w:val="en-GB" w:eastAsia="zh-CN"/>
        </w:rPr>
      </w:pPr>
      <w:r w:rsidRPr="00116329">
        <w:rPr>
          <w:rFonts w:ascii="Times New Roman" w:eastAsia="宋体" w:hAnsi="Times New Roman"/>
          <w:i/>
          <w:color w:val="000000" w:themeColor="text1"/>
          <w:sz w:val="20"/>
          <w:szCs w:val="20"/>
          <w:lang w:val="en-GB" w:eastAsia="zh-CN"/>
        </w:rPr>
        <w:t xml:space="preserve">Open-loop method: It refers to the case </w:t>
      </w:r>
      <w:r w:rsidR="00051D9B" w:rsidRPr="00116329">
        <w:rPr>
          <w:rFonts w:ascii="Times New Roman" w:eastAsia="宋体" w:hAnsi="Times New Roman"/>
          <w:i/>
          <w:color w:val="000000" w:themeColor="text1"/>
          <w:sz w:val="20"/>
          <w:szCs w:val="20"/>
          <w:lang w:val="en-GB" w:eastAsia="zh-CN"/>
        </w:rPr>
        <w:t xml:space="preserve">that </w:t>
      </w:r>
      <w:r w:rsidRPr="00116329">
        <w:rPr>
          <w:rFonts w:ascii="Times New Roman" w:eastAsia="宋体" w:hAnsi="Times New Roman"/>
          <w:i/>
          <w:color w:val="000000" w:themeColor="text1"/>
          <w:sz w:val="20"/>
          <w:szCs w:val="20"/>
          <w:lang w:val="en-GB" w:eastAsia="zh-CN"/>
        </w:rPr>
        <w:t>the UE adjust</w:t>
      </w:r>
      <w:r w:rsidR="002E35B4" w:rsidRPr="00116329">
        <w:rPr>
          <w:rFonts w:ascii="Times New Roman" w:eastAsia="宋体" w:hAnsi="Times New Roman"/>
          <w:i/>
          <w:color w:val="000000" w:themeColor="text1"/>
          <w:sz w:val="20"/>
          <w:szCs w:val="20"/>
          <w:lang w:val="en-GB" w:eastAsia="zh-CN"/>
        </w:rPr>
        <w:t>s</w:t>
      </w:r>
      <w:r w:rsidRPr="00116329">
        <w:rPr>
          <w:rFonts w:ascii="Times New Roman" w:eastAsia="宋体" w:hAnsi="Times New Roman"/>
          <w:i/>
          <w:color w:val="000000" w:themeColor="text1"/>
          <w:sz w:val="20"/>
          <w:szCs w:val="20"/>
          <w:lang w:val="en-GB" w:eastAsia="zh-CN"/>
        </w:rPr>
        <w:t xml:space="preserve"> the timing/frequency</w:t>
      </w:r>
      <w:r w:rsidR="002E35B4" w:rsidRPr="00116329">
        <w:rPr>
          <w:rFonts w:ascii="Times New Roman" w:eastAsia="宋体" w:hAnsi="Times New Roman"/>
          <w:i/>
          <w:color w:val="000000" w:themeColor="text1"/>
          <w:sz w:val="20"/>
          <w:szCs w:val="20"/>
          <w:lang w:val="en-GB" w:eastAsia="zh-CN"/>
        </w:rPr>
        <w:t xml:space="preserve"> for UL transmission</w:t>
      </w:r>
      <w:r w:rsidRPr="00116329">
        <w:rPr>
          <w:rFonts w:ascii="Times New Roman" w:eastAsia="宋体" w:hAnsi="Times New Roman"/>
          <w:i/>
          <w:color w:val="000000" w:themeColor="text1"/>
          <w:sz w:val="20"/>
          <w:szCs w:val="20"/>
          <w:lang w:val="en-GB" w:eastAsia="zh-CN"/>
        </w:rPr>
        <w:t xml:space="preserve"> according to the </w:t>
      </w:r>
      <w:r w:rsidR="00A27A99" w:rsidRPr="00116329">
        <w:rPr>
          <w:rFonts w:ascii="Times New Roman" w:eastAsia="宋体" w:hAnsi="Times New Roman"/>
          <w:i/>
          <w:color w:val="000000" w:themeColor="text1"/>
          <w:sz w:val="20"/>
          <w:szCs w:val="20"/>
          <w:lang w:val="en-GB" w:eastAsia="zh-CN"/>
        </w:rPr>
        <w:t xml:space="preserve">parameters </w:t>
      </w:r>
      <w:r w:rsidR="00D23F17" w:rsidRPr="00116329">
        <w:rPr>
          <w:rFonts w:ascii="Times New Roman" w:eastAsia="宋体" w:hAnsi="Times New Roman"/>
          <w:i/>
          <w:color w:val="000000" w:themeColor="text1"/>
          <w:sz w:val="20"/>
          <w:szCs w:val="20"/>
          <w:lang w:val="en-GB" w:eastAsia="zh-CN"/>
        </w:rPr>
        <w:t xml:space="preserve">only </w:t>
      </w:r>
      <w:r w:rsidR="001D30BF" w:rsidRPr="00116329">
        <w:rPr>
          <w:rFonts w:ascii="Times New Roman" w:eastAsia="宋体" w:hAnsi="Times New Roman"/>
          <w:i/>
          <w:color w:val="000000" w:themeColor="text1"/>
          <w:sz w:val="20"/>
          <w:szCs w:val="20"/>
          <w:lang w:val="en-GB" w:eastAsia="zh-CN"/>
        </w:rPr>
        <w:t xml:space="preserve">obtained by </w:t>
      </w:r>
      <w:r w:rsidR="00A27A99" w:rsidRPr="00116329">
        <w:rPr>
          <w:rFonts w:ascii="Times New Roman" w:eastAsia="宋体" w:hAnsi="Times New Roman"/>
          <w:i/>
          <w:color w:val="000000" w:themeColor="text1"/>
          <w:sz w:val="20"/>
          <w:szCs w:val="20"/>
          <w:lang w:val="en-GB" w:eastAsia="zh-CN"/>
        </w:rPr>
        <w:t>self-calculation</w:t>
      </w:r>
      <w:r w:rsidR="006258B1" w:rsidRPr="00116329">
        <w:rPr>
          <w:rFonts w:ascii="Times New Roman" w:eastAsia="宋体" w:hAnsi="Times New Roman"/>
          <w:i/>
          <w:color w:val="000000" w:themeColor="text1"/>
          <w:sz w:val="20"/>
          <w:szCs w:val="20"/>
          <w:lang w:val="en-GB" w:eastAsia="zh-CN"/>
        </w:rPr>
        <w:t>.</w:t>
      </w:r>
      <w:r w:rsidR="001A4179">
        <w:rPr>
          <w:rFonts w:ascii="Times New Roman" w:eastAsia="宋体" w:hAnsi="Times New Roman"/>
          <w:i/>
          <w:color w:val="000000" w:themeColor="text1"/>
          <w:sz w:val="20"/>
          <w:szCs w:val="20"/>
          <w:lang w:val="en-GB" w:eastAsia="zh-CN"/>
        </w:rPr>
        <w:t xml:space="preserve"> </w:t>
      </w:r>
    </w:p>
    <w:p w14:paraId="015CC823" w14:textId="10F2BBF5" w:rsidR="00AC3D5C" w:rsidRPr="00116329" w:rsidRDefault="00AC3D5C" w:rsidP="00FD3008">
      <w:pPr>
        <w:pStyle w:val="ListParagraph"/>
        <w:numPr>
          <w:ilvl w:val="1"/>
          <w:numId w:val="12"/>
        </w:numPr>
        <w:snapToGrid w:val="0"/>
        <w:spacing w:beforeLines="50" w:before="120" w:afterLines="50" w:after="120"/>
        <w:ind w:leftChars="654" w:left="1728"/>
        <w:jc w:val="both"/>
        <w:rPr>
          <w:rFonts w:ascii="Times New Roman" w:eastAsia="宋体" w:hAnsi="Times New Roman"/>
          <w:i/>
          <w:color w:val="000000" w:themeColor="text1"/>
          <w:sz w:val="20"/>
          <w:szCs w:val="20"/>
          <w:lang w:val="en-GB" w:eastAsia="zh-CN"/>
        </w:rPr>
      </w:pPr>
      <w:r w:rsidRPr="00116329">
        <w:rPr>
          <w:rFonts w:ascii="Times New Roman" w:eastAsia="宋体" w:hAnsi="Times New Roman"/>
          <w:i/>
          <w:color w:val="000000" w:themeColor="text1"/>
          <w:sz w:val="20"/>
          <w:szCs w:val="20"/>
          <w:lang w:val="en-GB" w:eastAsia="zh-CN"/>
        </w:rPr>
        <w:t xml:space="preserve">Closed-loop method: </w:t>
      </w:r>
      <w:r w:rsidR="00A27A99" w:rsidRPr="00116329">
        <w:rPr>
          <w:rFonts w:ascii="Times New Roman" w:eastAsia="宋体" w:hAnsi="Times New Roman"/>
          <w:i/>
          <w:color w:val="000000" w:themeColor="text1"/>
          <w:sz w:val="20"/>
          <w:szCs w:val="20"/>
          <w:lang w:val="en-GB" w:eastAsia="zh-CN"/>
        </w:rPr>
        <w:t xml:space="preserve">It refers to the case </w:t>
      </w:r>
      <w:r w:rsidR="00051D9B" w:rsidRPr="00116329">
        <w:rPr>
          <w:rFonts w:ascii="Times New Roman" w:eastAsia="宋体" w:hAnsi="Times New Roman"/>
          <w:i/>
          <w:color w:val="000000" w:themeColor="text1"/>
          <w:sz w:val="20"/>
          <w:szCs w:val="20"/>
          <w:lang w:val="en-GB" w:eastAsia="zh-CN"/>
        </w:rPr>
        <w:t>that</w:t>
      </w:r>
      <w:r w:rsidR="00A27A99" w:rsidRPr="00116329">
        <w:rPr>
          <w:rFonts w:ascii="Times New Roman" w:eastAsia="宋体" w:hAnsi="Times New Roman"/>
          <w:i/>
          <w:color w:val="000000" w:themeColor="text1"/>
          <w:sz w:val="20"/>
          <w:szCs w:val="20"/>
          <w:lang w:val="en-GB" w:eastAsia="zh-CN"/>
        </w:rPr>
        <w:t xml:space="preserve"> the UE adjust</w:t>
      </w:r>
      <w:r w:rsidR="002E35B4" w:rsidRPr="00116329">
        <w:rPr>
          <w:rFonts w:ascii="Times New Roman" w:eastAsia="宋体" w:hAnsi="Times New Roman"/>
          <w:i/>
          <w:color w:val="000000" w:themeColor="text1"/>
          <w:sz w:val="20"/>
          <w:szCs w:val="20"/>
          <w:lang w:val="en-GB" w:eastAsia="zh-CN"/>
        </w:rPr>
        <w:t>s</w:t>
      </w:r>
      <w:r w:rsidR="00A27A99" w:rsidRPr="00116329">
        <w:rPr>
          <w:rFonts w:ascii="Times New Roman" w:eastAsia="宋体" w:hAnsi="Times New Roman"/>
          <w:i/>
          <w:color w:val="000000" w:themeColor="text1"/>
          <w:sz w:val="20"/>
          <w:szCs w:val="20"/>
          <w:lang w:val="en-GB" w:eastAsia="zh-CN"/>
        </w:rPr>
        <w:t xml:space="preserve"> the timing/frequency</w:t>
      </w:r>
      <w:r w:rsidR="002E35B4" w:rsidRPr="00116329">
        <w:rPr>
          <w:rFonts w:ascii="Times New Roman" w:eastAsia="宋体" w:hAnsi="Times New Roman"/>
          <w:i/>
          <w:color w:val="000000" w:themeColor="text1"/>
          <w:sz w:val="20"/>
          <w:szCs w:val="20"/>
          <w:lang w:val="en-GB" w:eastAsia="zh-CN"/>
        </w:rPr>
        <w:t xml:space="preserve"> for UL transmission</w:t>
      </w:r>
      <w:r w:rsidR="00A27A99" w:rsidRPr="00116329">
        <w:rPr>
          <w:rFonts w:ascii="Times New Roman" w:eastAsia="宋体" w:hAnsi="Times New Roman"/>
          <w:i/>
          <w:color w:val="000000" w:themeColor="text1"/>
          <w:sz w:val="20"/>
          <w:szCs w:val="20"/>
          <w:lang w:val="en-GB" w:eastAsia="zh-CN"/>
        </w:rPr>
        <w:t xml:space="preserve"> according to the parameters </w:t>
      </w:r>
      <w:r w:rsidR="00D23F17" w:rsidRPr="00116329">
        <w:rPr>
          <w:rFonts w:ascii="Times New Roman" w:eastAsia="宋体" w:hAnsi="Times New Roman"/>
          <w:i/>
          <w:color w:val="000000" w:themeColor="text1"/>
          <w:sz w:val="20"/>
          <w:szCs w:val="20"/>
          <w:lang w:val="en-GB" w:eastAsia="zh-CN"/>
        </w:rPr>
        <w:t xml:space="preserve">only </w:t>
      </w:r>
      <w:r w:rsidR="00B02F73" w:rsidRPr="00116329">
        <w:rPr>
          <w:rFonts w:ascii="Times New Roman" w:eastAsia="宋体" w:hAnsi="Times New Roman"/>
          <w:i/>
          <w:color w:val="000000" w:themeColor="text1"/>
          <w:sz w:val="20"/>
          <w:szCs w:val="20"/>
          <w:lang w:val="en-GB" w:eastAsia="zh-CN"/>
        </w:rPr>
        <w:t xml:space="preserve">obtained </w:t>
      </w:r>
      <w:r w:rsidR="00A27A99" w:rsidRPr="00116329">
        <w:rPr>
          <w:rFonts w:ascii="Times New Roman" w:eastAsia="宋体" w:hAnsi="Times New Roman"/>
          <w:i/>
          <w:color w:val="000000" w:themeColor="text1"/>
          <w:sz w:val="20"/>
          <w:szCs w:val="20"/>
          <w:lang w:val="en-GB" w:eastAsia="zh-CN"/>
        </w:rPr>
        <w:t xml:space="preserve">by </w:t>
      </w:r>
      <w:r w:rsidR="003C6276" w:rsidRPr="00116329">
        <w:rPr>
          <w:rFonts w:ascii="Times New Roman" w:eastAsia="宋体" w:hAnsi="Times New Roman"/>
          <w:i/>
          <w:color w:val="000000" w:themeColor="text1"/>
          <w:sz w:val="20"/>
          <w:szCs w:val="20"/>
          <w:lang w:val="en-GB" w:eastAsia="zh-CN"/>
        </w:rPr>
        <w:t>network</w:t>
      </w:r>
      <w:r w:rsidR="00A27A99" w:rsidRPr="00116329">
        <w:rPr>
          <w:rFonts w:ascii="Times New Roman" w:eastAsia="宋体" w:hAnsi="Times New Roman"/>
          <w:i/>
          <w:color w:val="000000" w:themeColor="text1"/>
          <w:sz w:val="20"/>
          <w:szCs w:val="20"/>
          <w:lang w:val="en-GB" w:eastAsia="zh-CN"/>
        </w:rPr>
        <w:t xml:space="preserve"> indication.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C3D5C" w14:paraId="108B9950"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F7697CB" w14:textId="77777777" w:rsidR="00AC3D5C" w:rsidRDefault="00AC3D5C" w:rsidP="00B4264E">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3AA1F9C" w14:textId="77777777" w:rsidR="00AC3D5C" w:rsidRDefault="00AC3D5C" w:rsidP="00B4264E">
            <w:pPr>
              <w:jc w:val="center"/>
              <w:rPr>
                <w:b/>
                <w:sz w:val="28"/>
                <w:lang w:eastAsia="zh-CN"/>
              </w:rPr>
            </w:pPr>
            <w:r w:rsidRPr="008D3FED">
              <w:rPr>
                <w:b/>
                <w:sz w:val="22"/>
                <w:lang w:eastAsia="zh-CN"/>
              </w:rPr>
              <w:t>Comments and Views</w:t>
            </w:r>
          </w:p>
        </w:tc>
      </w:tr>
      <w:tr w:rsidR="00AC3D5C" w14:paraId="01864264"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854C48" w14:textId="77777777" w:rsidR="00AC3D5C" w:rsidRDefault="00AC3D5C" w:rsidP="00B4264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2CC452A" w14:textId="77777777" w:rsidR="00AC3D5C" w:rsidRDefault="00AC3D5C" w:rsidP="00B4264E">
            <w:pPr>
              <w:snapToGrid w:val="0"/>
              <w:ind w:left="360"/>
            </w:pPr>
          </w:p>
        </w:tc>
      </w:tr>
      <w:tr w:rsidR="00AC3D5C" w14:paraId="178E3ED9" w14:textId="77777777" w:rsidTr="00B4264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AD998C" w14:textId="77777777" w:rsidR="00AC3D5C" w:rsidRDefault="00AC3D5C" w:rsidP="00B4264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CE85193" w14:textId="77777777" w:rsidR="00AC3D5C" w:rsidRDefault="00AC3D5C" w:rsidP="00B4264E">
            <w:pPr>
              <w:snapToGrid w:val="0"/>
              <w:ind w:left="360"/>
            </w:pPr>
          </w:p>
        </w:tc>
      </w:tr>
    </w:tbl>
    <w:p w14:paraId="0E5FE6B7" w14:textId="719EF022" w:rsidR="00312261" w:rsidRPr="00312261" w:rsidRDefault="00312261" w:rsidP="00312261">
      <w:pPr>
        <w:pStyle w:val="ListParagraph"/>
        <w:numPr>
          <w:ilvl w:val="0"/>
          <w:numId w:val="32"/>
        </w:numPr>
        <w:spacing w:beforeLines="50" w:before="120" w:afterLines="50" w:after="120"/>
        <w:jc w:val="both"/>
        <w:rPr>
          <w:rFonts w:ascii="Times New Roman" w:hAnsi="Times New Roman"/>
          <w:b/>
          <w:sz w:val="20"/>
          <w:szCs w:val="20"/>
          <w:lang w:eastAsia="zh-CN"/>
        </w:rPr>
      </w:pPr>
      <w:r w:rsidRPr="00312261">
        <w:rPr>
          <w:rFonts w:ascii="Times New Roman" w:hAnsi="Times New Roman"/>
          <w:b/>
          <w:sz w:val="20"/>
          <w:szCs w:val="20"/>
          <w:lang w:eastAsia="zh-CN"/>
        </w:rPr>
        <w:t>For frequency offset</w:t>
      </w:r>
    </w:p>
    <w:p w14:paraId="5DFF581B" w14:textId="65E260B4" w:rsidR="00010BDA" w:rsidRPr="005145E3" w:rsidRDefault="005145E3" w:rsidP="00CF16CE">
      <w:pPr>
        <w:pStyle w:val="ListParagraph"/>
        <w:spacing w:beforeLines="50" w:before="120" w:afterLines="50" w:after="120"/>
        <w:ind w:leftChars="310" w:left="6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[Nokia] highlights that UL Doppler compensation is needed at UE side</w:t>
      </w:r>
      <w:r w:rsidR="00DF0953">
        <w:rPr>
          <w:rFonts w:ascii="Times New Roman" w:eastAsiaTheme="minorEastAsia" w:hAnsi="Times New Roman"/>
          <w:sz w:val="20"/>
          <w:szCs w:val="20"/>
          <w:lang w:eastAsia="zh-CN"/>
        </w:rPr>
        <w:t>.</w:t>
      </w:r>
      <w:r w:rsidR="007F18F0">
        <w:rPr>
          <w:rFonts w:ascii="Times New Roman" w:eastAsiaTheme="minorEastAsia" w:hAnsi="Times New Roman"/>
          <w:sz w:val="20"/>
          <w:szCs w:val="20"/>
          <w:lang w:eastAsia="zh-CN"/>
        </w:rPr>
        <w:t xml:space="preserve"> </w:t>
      </w:r>
      <w:r w:rsidR="00DF0953">
        <w:rPr>
          <w:rFonts w:ascii="Times New Roman" w:eastAsiaTheme="minorEastAsia" w:hAnsi="Times New Roman"/>
          <w:sz w:val="20"/>
          <w:szCs w:val="20"/>
          <w:lang w:eastAsia="zh-CN"/>
        </w:rPr>
        <w:t>E</w:t>
      </w:r>
      <w:r w:rsidR="007F18F0">
        <w:rPr>
          <w:rFonts w:ascii="Times New Roman" w:eastAsiaTheme="minorEastAsia" w:hAnsi="Times New Roman"/>
          <w:sz w:val="20"/>
          <w:szCs w:val="20"/>
          <w:lang w:eastAsia="zh-CN"/>
        </w:rPr>
        <w:t xml:space="preserve">valuation on the performance </w:t>
      </w:r>
      <w:r w:rsidR="00DF0953">
        <w:rPr>
          <w:rFonts w:ascii="Times New Roman" w:eastAsiaTheme="minorEastAsia" w:hAnsi="Times New Roman"/>
          <w:sz w:val="20"/>
          <w:szCs w:val="20"/>
          <w:lang w:eastAsia="zh-CN"/>
        </w:rPr>
        <w:t>is suggested by</w:t>
      </w:r>
      <w:r w:rsidR="007F18F0">
        <w:rPr>
          <w:rFonts w:ascii="Times New Roman" w:eastAsiaTheme="minorEastAsia" w:hAnsi="Times New Roman"/>
          <w:sz w:val="20"/>
          <w:szCs w:val="20"/>
          <w:lang w:eastAsia="zh-CN"/>
        </w:rPr>
        <w:t xml:space="preserve"> [OPPO]</w:t>
      </w:r>
      <w:r w:rsidR="00AA1D37">
        <w:rPr>
          <w:rFonts w:ascii="Times New Roman" w:eastAsiaTheme="minorEastAsia" w:hAnsi="Times New Roman"/>
          <w:sz w:val="20"/>
          <w:szCs w:val="20"/>
          <w:lang w:eastAsia="zh-CN"/>
        </w:rPr>
        <w:t>. A</w:t>
      </w:r>
      <w:r w:rsidR="00DF0953">
        <w:rPr>
          <w:rFonts w:ascii="Times New Roman" w:eastAsiaTheme="minorEastAsia" w:hAnsi="Times New Roman"/>
          <w:sz w:val="20"/>
          <w:szCs w:val="20"/>
          <w:lang w:eastAsia="zh-CN"/>
        </w:rPr>
        <w:t>ccording to the results from [HW</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sidR="00DF0953">
        <w:rPr>
          <w:rFonts w:ascii="Times New Roman" w:eastAsiaTheme="minorEastAsia" w:hAnsi="Times New Roman"/>
          <w:sz w:val="20"/>
          <w:szCs w:val="20"/>
          <w:lang w:eastAsia="zh-CN"/>
        </w:rPr>
        <w:t>], UL frequency offset will be up to double oscillator errors if pre-compensatio</w:t>
      </w:r>
      <w:r w:rsidR="00A43EF4">
        <w:rPr>
          <w:rFonts w:ascii="Times New Roman" w:eastAsiaTheme="minorEastAsia" w:hAnsi="Times New Roman"/>
          <w:sz w:val="20"/>
          <w:szCs w:val="20"/>
          <w:lang w:eastAsia="zh-CN"/>
        </w:rPr>
        <w:t>n is done at UE side</w:t>
      </w:r>
      <w:r w:rsidR="0051353B">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[CATT</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Pr>
          <w:rFonts w:ascii="Times New Roman" w:eastAsiaTheme="minorEastAsia" w:hAnsi="Times New Roman"/>
          <w:sz w:val="20"/>
          <w:szCs w:val="20"/>
          <w:lang w:eastAsia="zh-CN"/>
        </w:rPr>
        <w:t xml:space="preserve">] </w:t>
      </w:r>
      <w:r w:rsidR="00612724">
        <w:rPr>
          <w:rFonts w:ascii="Times New Roman" w:eastAsiaTheme="minorEastAsia" w:hAnsi="Times New Roman"/>
          <w:sz w:val="20"/>
          <w:szCs w:val="20"/>
          <w:lang w:eastAsia="zh-CN"/>
        </w:rPr>
        <w:t>propose</w:t>
      </w:r>
      <w:r>
        <w:rPr>
          <w:rFonts w:ascii="Times New Roman" w:eastAsiaTheme="minorEastAsia" w:hAnsi="Times New Roman"/>
          <w:sz w:val="20"/>
          <w:szCs w:val="20"/>
          <w:lang w:eastAsia="zh-CN"/>
        </w:rPr>
        <w:t xml:space="preserve"> that the open loop UL frequency pre-compensation at UE side calculated by the location and satellite ephemeris sh</w:t>
      </w:r>
      <w:r w:rsidR="0051353B">
        <w:rPr>
          <w:rFonts w:ascii="Times New Roman" w:eastAsiaTheme="minorEastAsia" w:hAnsi="Times New Roman"/>
          <w:sz w:val="20"/>
          <w:szCs w:val="20"/>
          <w:lang w:eastAsia="zh-CN"/>
        </w:rPr>
        <w:t>ould be taken as baseline. In this way, [CATT</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sidR="00B364FF">
        <w:rPr>
          <w:rFonts w:ascii="Times New Roman" w:eastAsiaTheme="minorEastAsia" w:hAnsi="Times New Roman"/>
          <w:sz w:val="20"/>
          <w:szCs w:val="20"/>
          <w:lang w:eastAsia="zh-CN"/>
        </w:rPr>
        <w:t xml:space="preserve">, </w:t>
      </w:r>
      <w:r w:rsidR="00B364FF" w:rsidRPr="00B364FF">
        <w:rPr>
          <w:rFonts w:ascii="Times New Roman" w:eastAsiaTheme="minorEastAsia" w:hAnsi="Times New Roman"/>
          <w:sz w:val="20"/>
          <w:szCs w:val="20"/>
          <w:lang w:eastAsia="zh-CN"/>
        </w:rPr>
        <w:t>Mitsubishi</w:t>
      </w:r>
      <w:r w:rsidR="0051353B">
        <w:rPr>
          <w:rFonts w:ascii="Times New Roman" w:eastAsiaTheme="minorEastAsia" w:hAnsi="Times New Roman"/>
          <w:sz w:val="20"/>
          <w:szCs w:val="20"/>
          <w:lang w:eastAsia="zh-CN"/>
        </w:rPr>
        <w:t xml:space="preserve">] </w:t>
      </w:r>
      <w:r w:rsidR="00B364FF">
        <w:rPr>
          <w:rFonts w:ascii="Times New Roman" w:eastAsiaTheme="minorEastAsia" w:hAnsi="Times New Roman"/>
          <w:sz w:val="20"/>
          <w:szCs w:val="20"/>
          <w:lang w:eastAsia="zh-CN"/>
        </w:rPr>
        <w:t>further propose that the common frequency offset for UL, e.g., post-compensated by satellite, should be indicated to UE</w:t>
      </w:r>
      <w:r w:rsidR="00811048">
        <w:rPr>
          <w:rFonts w:ascii="Times New Roman" w:eastAsiaTheme="minorEastAsia" w:hAnsi="Times New Roman"/>
          <w:sz w:val="20"/>
          <w:szCs w:val="20"/>
          <w:lang w:eastAsia="zh-CN"/>
        </w:rPr>
        <w:t xml:space="preserve"> a</w:t>
      </w:r>
      <w:r w:rsidR="00DE1995">
        <w:rPr>
          <w:rFonts w:ascii="Times New Roman" w:eastAsiaTheme="minorEastAsia" w:hAnsi="Times New Roman"/>
          <w:sz w:val="20"/>
          <w:szCs w:val="20"/>
          <w:lang w:eastAsia="zh-CN"/>
        </w:rPr>
        <w:t>nd [QC] highlights that it is only for the UE without knowledge of geolocation.</w:t>
      </w:r>
    </w:p>
    <w:p w14:paraId="3476581C" w14:textId="5A37A7E2" w:rsidR="00D01975" w:rsidRDefault="00D01975" w:rsidP="00D01975">
      <w:pPr>
        <w:pStyle w:val="ListParagraph"/>
        <w:spacing w:beforeLines="50" w:before="120" w:afterLines="50" w:after="120"/>
        <w:ind w:leftChars="310" w:left="6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MTK, HW</w:t>
      </w:r>
      <w:r w:rsidR="008B7B59">
        <w:rPr>
          <w:rFonts w:ascii="Times New Roman" w:eastAsiaTheme="minorEastAsia" w:hAnsi="Times New Roman"/>
          <w:sz w:val="20"/>
          <w:szCs w:val="20"/>
          <w:lang w:eastAsia="zh-CN"/>
        </w:rPr>
        <w:t>,</w:t>
      </w:r>
      <w:r w:rsidR="008B7B59" w:rsidRPr="008B7B59">
        <w:rPr>
          <w:rFonts w:ascii="Times New Roman" w:eastAsiaTheme="minorEastAsia" w:hAnsi="Times New Roman"/>
          <w:sz w:val="20"/>
          <w:szCs w:val="20"/>
          <w:lang w:eastAsia="zh-CN"/>
        </w:rPr>
        <w:t xml:space="preserve"> CAICT</w:t>
      </w:r>
      <w:r>
        <w:rPr>
          <w:rFonts w:ascii="Times New Roman" w:eastAsiaTheme="minorEastAsia" w:hAnsi="Times New Roman"/>
          <w:sz w:val="20"/>
          <w:szCs w:val="20"/>
          <w:lang w:eastAsia="zh-CN"/>
        </w:rPr>
        <w:t xml:space="preserve">, Intel] mentioned that for UL frequency synchronization, the UL frequency offset equating the 2*f_d (f_d refers the Doppler shift observed from </w:t>
      </w:r>
      <w:r w:rsidRPr="00DE35EC">
        <w:rPr>
          <w:rFonts w:ascii="Times New Roman" w:eastAsiaTheme="minorEastAsia" w:hAnsi="Times New Roman"/>
          <w:sz w:val="20"/>
          <w:szCs w:val="20"/>
          <w:lang w:eastAsia="zh-CN"/>
        </w:rPr>
        <w:t>downlink) should be considered.</w:t>
      </w:r>
      <w:r w:rsidR="00DE35EC" w:rsidRPr="00DE35EC">
        <w:rPr>
          <w:rFonts w:ascii="Times New Roman" w:eastAsiaTheme="minorEastAsia" w:hAnsi="Times New Roman"/>
          <w:sz w:val="20"/>
          <w:szCs w:val="20"/>
          <w:lang w:eastAsia="zh-CN"/>
        </w:rPr>
        <w:t xml:space="preserve"> And closed-loop method for UL frequency compensation, e.g., the gNB will signal a frequency adjustment command to UE, are proposed by [Ericsson, QC, Panasonic, Samsung].</w:t>
      </w:r>
      <w:r w:rsidR="00DE35EC">
        <w:rPr>
          <w:rFonts w:ascii="Times New Roman" w:eastAsiaTheme="minorEastAsia" w:hAnsi="Times New Roman"/>
          <w:sz w:val="20"/>
          <w:szCs w:val="20"/>
          <w:lang w:eastAsia="zh-CN"/>
        </w:rPr>
        <w:t xml:space="preserve"> </w:t>
      </w:r>
      <w:r w:rsidR="007365F7">
        <w:rPr>
          <w:rFonts w:ascii="Times New Roman" w:eastAsiaTheme="minorEastAsia" w:hAnsi="Times New Roman"/>
          <w:sz w:val="20"/>
          <w:szCs w:val="20"/>
          <w:lang w:eastAsia="zh-CN"/>
        </w:rPr>
        <w:t>Potential enhancement on SRS for UL frequency estimation can also be considered [QC].</w:t>
      </w:r>
    </w:p>
    <w:p w14:paraId="01776167" w14:textId="5C5E32E9" w:rsidR="00C50081" w:rsidRDefault="00C50081" w:rsidP="00D01975">
      <w:pPr>
        <w:pStyle w:val="ListParagraph"/>
        <w:spacing w:beforeLines="50" w:before="120" w:afterLines="50" w:after="120"/>
        <w:ind w:leftChars="310" w:left="620"/>
        <w:jc w:val="both"/>
        <w:rPr>
          <w:rFonts w:ascii="Times New Roman" w:eastAsiaTheme="minorEastAsia" w:hAnsi="Times New Roman"/>
          <w:sz w:val="20"/>
          <w:szCs w:val="20"/>
          <w:lang w:eastAsia="zh-CN"/>
        </w:rPr>
      </w:pPr>
      <w:r>
        <w:rPr>
          <w:rFonts w:ascii="Times New Roman" w:hAnsi="Times New Roman"/>
          <w:sz w:val="20"/>
          <w:szCs w:val="20"/>
          <w:lang w:eastAsia="zh-CN"/>
        </w:rPr>
        <w:t>Additional, clarification on the FFS part in previous agreements are expected by [Ericsson].</w:t>
      </w:r>
    </w:p>
    <w:p w14:paraId="6C78DC80" w14:textId="5DE00DA8" w:rsidR="000565B1" w:rsidRPr="00FF4C0A" w:rsidRDefault="00171832" w:rsidP="00AF6A6A">
      <w:pPr>
        <w:snapToGrid w:val="0"/>
        <w:spacing w:beforeLines="50" w:before="120" w:afterLines="50" w:after="120"/>
        <w:ind w:leftChars="266" w:left="532" w:firstLine="88"/>
        <w:jc w:val="both"/>
        <w:rPr>
          <w:b/>
          <w:i/>
          <w:color w:val="000000" w:themeColor="text1"/>
          <w:lang w:eastAsia="zh-CN"/>
        </w:rPr>
      </w:pPr>
      <w:r w:rsidRPr="00171832">
        <w:rPr>
          <w:color w:val="000000" w:themeColor="text1"/>
          <w:lang w:val="en-US" w:eastAsia="zh-CN"/>
        </w:rPr>
        <w:t xml:space="preserve">Based on the above </w:t>
      </w:r>
      <w:r w:rsidR="00AF6A6A">
        <w:rPr>
          <w:color w:val="000000" w:themeColor="text1"/>
          <w:lang w:val="en-US" w:eastAsia="zh-CN"/>
        </w:rPr>
        <w:t>summary and previous agreements</w:t>
      </w:r>
      <w:r w:rsidRPr="00171832">
        <w:rPr>
          <w:color w:val="000000" w:themeColor="text1"/>
          <w:lang w:val="en-US" w:eastAsia="zh-CN"/>
        </w:rPr>
        <w:t>, following proposal</w:t>
      </w:r>
      <w:r w:rsidR="00F71768">
        <w:rPr>
          <w:color w:val="000000" w:themeColor="text1"/>
          <w:lang w:val="en-US" w:eastAsia="zh-CN"/>
        </w:rPr>
        <w:t xml:space="preserve"> is</w:t>
      </w:r>
      <w:r w:rsidR="00AF6A6A">
        <w:rPr>
          <w:color w:val="000000" w:themeColor="text1"/>
          <w:lang w:val="en-US" w:eastAsia="zh-CN"/>
        </w:rPr>
        <w:t xml:space="preserve"> provided</w:t>
      </w:r>
      <w:r w:rsidRPr="00171832">
        <w:rPr>
          <w:color w:val="000000" w:themeColor="text1"/>
          <w:lang w:val="en-US" w:eastAsia="zh-CN"/>
        </w:rPr>
        <w:t>:</w:t>
      </w:r>
    </w:p>
    <w:p w14:paraId="35FCE69D" w14:textId="566502C9" w:rsidR="00136C54" w:rsidRDefault="008B5676" w:rsidP="00AF6A6A">
      <w:pPr>
        <w:spacing w:beforeLines="50" w:before="120" w:afterLines="50" w:after="120"/>
        <w:ind w:leftChars="300" w:left="600"/>
      </w:pPr>
      <w:r>
        <w:rPr>
          <w:b/>
          <w:i/>
          <w:color w:val="000000" w:themeColor="text1"/>
          <w:lang w:eastAsia="zh-CN"/>
        </w:rPr>
        <w:t xml:space="preserve">Proposal </w:t>
      </w:r>
      <w:r w:rsidR="00D25A56">
        <w:rPr>
          <w:b/>
          <w:i/>
          <w:color w:val="000000" w:themeColor="text1"/>
          <w:lang w:eastAsia="zh-CN"/>
        </w:rPr>
        <w:t>3</w:t>
      </w:r>
      <w:r w:rsidRPr="00171832">
        <w:rPr>
          <w:b/>
          <w:i/>
          <w:color w:val="000000" w:themeColor="text1"/>
          <w:lang w:eastAsia="zh-CN"/>
        </w:rPr>
        <w:t xml:space="preserve">: </w:t>
      </w:r>
      <w:r w:rsidR="00136C54" w:rsidRPr="00136C54">
        <w:rPr>
          <w:i/>
        </w:rPr>
        <w:t>For UL frequency compensation at least in LEO systems:</w:t>
      </w:r>
    </w:p>
    <w:p w14:paraId="203AB637" w14:textId="79E56F33" w:rsidR="00113DD9" w:rsidRPr="009861A9" w:rsidRDefault="00113DD9" w:rsidP="00AF6A6A">
      <w:pPr>
        <w:pStyle w:val="ListParagraph"/>
        <w:numPr>
          <w:ilvl w:val="2"/>
          <w:numId w:val="17"/>
        </w:numPr>
        <w:snapToGrid w:val="0"/>
        <w:spacing w:before="50" w:after="50"/>
        <w:ind w:leftChars="764" w:left="1948"/>
        <w:jc w:val="both"/>
        <w:rPr>
          <w:rFonts w:ascii="Times New Roman" w:eastAsia="宋体" w:hAnsi="Times New Roman"/>
          <w:i/>
          <w:color w:val="000000" w:themeColor="text1"/>
          <w:sz w:val="20"/>
          <w:szCs w:val="20"/>
          <w:lang w:val="en-GB" w:eastAsia="zh-CN"/>
        </w:rPr>
      </w:pPr>
      <w:r w:rsidRPr="009861A9">
        <w:rPr>
          <w:rFonts w:ascii="Times New Roman" w:eastAsia="宋体" w:hAnsi="Times New Roman"/>
          <w:i/>
          <w:color w:val="000000" w:themeColor="text1"/>
          <w:sz w:val="20"/>
          <w:szCs w:val="20"/>
          <w:lang w:val="en-GB" w:eastAsia="zh-CN"/>
        </w:rPr>
        <w:t xml:space="preserve">For </w:t>
      </w:r>
      <w:r w:rsidR="00136C54" w:rsidRPr="009861A9">
        <w:rPr>
          <w:rFonts w:ascii="Times New Roman" w:eastAsia="宋体" w:hAnsi="Times New Roman"/>
          <w:i/>
          <w:color w:val="000000" w:themeColor="text1"/>
          <w:sz w:val="20"/>
          <w:szCs w:val="20"/>
          <w:lang w:val="en-GB" w:eastAsia="zh-CN"/>
        </w:rPr>
        <w:t>closed</w:t>
      </w:r>
      <w:r w:rsidR="003C551A" w:rsidRPr="009861A9">
        <w:rPr>
          <w:rFonts w:ascii="Times New Roman" w:eastAsia="宋体" w:hAnsi="Times New Roman"/>
          <w:i/>
          <w:color w:val="000000" w:themeColor="text1"/>
          <w:sz w:val="20"/>
          <w:szCs w:val="20"/>
          <w:lang w:val="en-GB" w:eastAsia="zh-CN"/>
        </w:rPr>
        <w:t xml:space="preserve">-loop method </w:t>
      </w:r>
      <w:r w:rsidRPr="009861A9">
        <w:rPr>
          <w:rFonts w:ascii="Times New Roman" w:eastAsia="宋体" w:hAnsi="Times New Roman"/>
          <w:i/>
          <w:color w:val="000000" w:themeColor="text1"/>
          <w:sz w:val="20"/>
          <w:szCs w:val="20"/>
          <w:lang w:val="en-GB" w:eastAsia="zh-CN"/>
        </w:rPr>
        <w:t>:</w:t>
      </w:r>
    </w:p>
    <w:p w14:paraId="3C848475" w14:textId="34F4E50C" w:rsidR="007365F7" w:rsidRPr="009861A9" w:rsidRDefault="007365F7" w:rsidP="00AF6A6A">
      <w:pPr>
        <w:pStyle w:val="ListParagraph"/>
        <w:numPr>
          <w:ilvl w:val="3"/>
          <w:numId w:val="31"/>
        </w:numPr>
        <w:snapToGrid w:val="0"/>
        <w:spacing w:beforeLines="50" w:before="120" w:afterLines="50" w:after="120"/>
        <w:ind w:leftChars="974" w:left="2368"/>
        <w:jc w:val="both"/>
        <w:rPr>
          <w:rFonts w:ascii="Times New Roman" w:eastAsia="宋体" w:hAnsi="Times New Roman"/>
          <w:i/>
          <w:color w:val="000000" w:themeColor="text1"/>
          <w:sz w:val="20"/>
          <w:szCs w:val="20"/>
          <w:lang w:val="en-GB" w:eastAsia="zh-CN"/>
        </w:rPr>
      </w:pPr>
      <w:r w:rsidRPr="009861A9">
        <w:rPr>
          <w:rFonts w:ascii="Times New Roman" w:eastAsia="宋体" w:hAnsi="Times New Roman"/>
          <w:i/>
          <w:color w:val="000000" w:themeColor="text1"/>
          <w:sz w:val="20"/>
          <w:szCs w:val="20"/>
          <w:lang w:val="en-GB" w:eastAsia="zh-CN"/>
        </w:rPr>
        <w:t xml:space="preserve">UE-specific frequency offset is indicated by gNB </w:t>
      </w:r>
      <w:r w:rsidR="00EA6E5F">
        <w:rPr>
          <w:rFonts w:ascii="Times New Roman" w:eastAsia="宋体" w:hAnsi="Times New Roman"/>
          <w:i/>
          <w:color w:val="000000" w:themeColor="text1"/>
          <w:sz w:val="20"/>
          <w:szCs w:val="20"/>
          <w:lang w:val="en-GB" w:eastAsia="zh-CN"/>
        </w:rPr>
        <w:t>to UE</w:t>
      </w:r>
    </w:p>
    <w:p w14:paraId="013EB148" w14:textId="7A714D0A" w:rsidR="00312940" w:rsidRPr="009861A9" w:rsidRDefault="00362335" w:rsidP="00AF6A6A">
      <w:pPr>
        <w:pStyle w:val="ListParagraph"/>
        <w:numPr>
          <w:ilvl w:val="4"/>
          <w:numId w:val="12"/>
        </w:numPr>
        <w:snapToGrid w:val="0"/>
        <w:spacing w:beforeLines="50" w:before="120" w:afterLines="50" w:after="120"/>
        <w:ind w:leftChars="1184" w:left="2788"/>
        <w:jc w:val="both"/>
        <w:rPr>
          <w:i/>
          <w:color w:val="000000" w:themeColor="text1"/>
          <w:lang w:eastAsia="zh-CN"/>
        </w:rPr>
      </w:pPr>
      <w:r w:rsidRPr="009861A9">
        <w:rPr>
          <w:rFonts w:ascii="Times New Roman" w:eastAsia="宋体" w:hAnsi="Times New Roman"/>
          <w:i/>
          <w:color w:val="000000" w:themeColor="text1"/>
          <w:sz w:val="20"/>
          <w:szCs w:val="20"/>
          <w:lang w:val="en-GB" w:eastAsia="zh-CN"/>
        </w:rPr>
        <w:t>FFS on the signalling methods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A53FC" w14:paraId="1E41A04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7E2AFB4" w14:textId="77777777" w:rsidR="00BA53FC" w:rsidRDefault="00BA53FC" w:rsidP="008B567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E7B60E9" w14:textId="77777777" w:rsidR="00BA53FC" w:rsidRDefault="00BA53FC" w:rsidP="008B5676">
            <w:pPr>
              <w:jc w:val="center"/>
              <w:rPr>
                <w:b/>
                <w:sz w:val="28"/>
                <w:lang w:eastAsia="zh-CN"/>
              </w:rPr>
            </w:pPr>
            <w:r w:rsidRPr="008D3FED">
              <w:rPr>
                <w:b/>
                <w:sz w:val="22"/>
                <w:lang w:eastAsia="zh-CN"/>
              </w:rPr>
              <w:t>Comments and Views</w:t>
            </w:r>
          </w:p>
        </w:tc>
      </w:tr>
      <w:tr w:rsidR="00BA53FC" w14:paraId="5F78C6A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AF01F6" w14:textId="77777777" w:rsidR="00BA53FC" w:rsidRDefault="00BA53FC" w:rsidP="008B567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2EB145C" w14:textId="77777777" w:rsidR="00BA53FC" w:rsidRDefault="00BA53FC" w:rsidP="008B5676">
            <w:pPr>
              <w:snapToGrid w:val="0"/>
              <w:ind w:left="360"/>
            </w:pPr>
          </w:p>
        </w:tc>
      </w:tr>
      <w:tr w:rsidR="00BA53FC" w14:paraId="4DC2CFB4"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5F45" w14:textId="77777777" w:rsidR="00BA53FC" w:rsidRDefault="00BA53FC" w:rsidP="008B567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D5A90B" w14:textId="77777777" w:rsidR="00BA53FC" w:rsidRDefault="00BA53FC" w:rsidP="008B5676">
            <w:pPr>
              <w:snapToGrid w:val="0"/>
              <w:ind w:left="360"/>
            </w:pPr>
          </w:p>
        </w:tc>
      </w:tr>
    </w:tbl>
    <w:p w14:paraId="20FF5758" w14:textId="43955271" w:rsidR="00312261" w:rsidRPr="00312261" w:rsidRDefault="00312261" w:rsidP="00312261">
      <w:pPr>
        <w:pStyle w:val="ListParagraph"/>
        <w:numPr>
          <w:ilvl w:val="0"/>
          <w:numId w:val="32"/>
        </w:numPr>
        <w:spacing w:beforeLines="50" w:before="120" w:afterLines="50" w:after="120"/>
        <w:jc w:val="both"/>
        <w:rPr>
          <w:rFonts w:ascii="Times New Roman" w:hAnsi="Times New Roman"/>
          <w:b/>
          <w:sz w:val="20"/>
          <w:szCs w:val="20"/>
          <w:lang w:eastAsia="zh-CN"/>
        </w:rPr>
      </w:pPr>
      <w:r w:rsidRPr="00312261">
        <w:rPr>
          <w:rFonts w:ascii="Times New Roman" w:hAnsi="Times New Roman"/>
          <w:b/>
          <w:sz w:val="20"/>
          <w:szCs w:val="20"/>
          <w:lang w:eastAsia="zh-CN"/>
        </w:rPr>
        <w:t xml:space="preserve">For </w:t>
      </w:r>
      <w:r w:rsidR="003563A6">
        <w:rPr>
          <w:rFonts w:ascii="Times New Roman" w:hAnsi="Times New Roman"/>
          <w:b/>
          <w:sz w:val="20"/>
          <w:szCs w:val="20"/>
          <w:lang w:eastAsia="zh-CN"/>
        </w:rPr>
        <w:t>timing advanced</w:t>
      </w:r>
    </w:p>
    <w:p w14:paraId="35D2EDDD" w14:textId="3D0F332B" w:rsidR="0023387F" w:rsidRDefault="00C332E0" w:rsidP="0023387F">
      <w:pPr>
        <w:snapToGrid w:val="0"/>
        <w:spacing w:beforeLines="50" w:before="120" w:afterLines="50" w:after="120"/>
        <w:ind w:left="620"/>
        <w:rPr>
          <w:rFonts w:eastAsiaTheme="minorEastAsia"/>
          <w:lang w:val="en-US" w:eastAsia="zh-CN"/>
        </w:rPr>
      </w:pPr>
      <w:r>
        <w:rPr>
          <w:rFonts w:eastAsiaTheme="minorEastAsia"/>
          <w:lang w:val="en-US" w:eastAsia="zh-CN"/>
        </w:rPr>
        <w:t>Discussion</w:t>
      </w:r>
      <w:r w:rsidR="00C01B95">
        <w:rPr>
          <w:rFonts w:eastAsiaTheme="minorEastAsia"/>
          <w:lang w:val="en-US" w:eastAsia="zh-CN"/>
        </w:rPr>
        <w:t xml:space="preserve"> on the timing advanced </w:t>
      </w:r>
      <w:r w:rsidR="0000255C">
        <w:rPr>
          <w:rFonts w:eastAsiaTheme="minorEastAsia"/>
          <w:lang w:val="en-US" w:eastAsia="zh-CN"/>
        </w:rPr>
        <w:t>is</w:t>
      </w:r>
      <w:r w:rsidR="00C01B95">
        <w:rPr>
          <w:rFonts w:eastAsiaTheme="minorEastAsia"/>
          <w:lang w:val="en-US" w:eastAsia="zh-CN"/>
        </w:rPr>
        <w:t xml:space="preserve"> conducted on the initial TA acquisition and following maintenance.</w:t>
      </w:r>
    </w:p>
    <w:p w14:paraId="3F6A5C5D" w14:textId="77777777" w:rsidR="007B040B" w:rsidRPr="00116AFC" w:rsidRDefault="008C4F39" w:rsidP="0023387F">
      <w:pPr>
        <w:snapToGrid w:val="0"/>
        <w:spacing w:beforeLines="50" w:before="120" w:afterLines="50" w:after="120"/>
        <w:ind w:left="620"/>
        <w:rPr>
          <w:rFonts w:eastAsiaTheme="minorEastAsia"/>
          <w:b/>
          <w:lang w:eastAsia="zh-CN"/>
        </w:rPr>
      </w:pPr>
      <w:r w:rsidRPr="00116AFC">
        <w:rPr>
          <w:rFonts w:eastAsiaTheme="minorEastAsia"/>
          <w:b/>
          <w:lang w:eastAsia="zh-CN"/>
        </w:rPr>
        <w:t>For the initial TA acquisition</w:t>
      </w:r>
      <w:r w:rsidR="007B040B" w:rsidRPr="00116AFC">
        <w:rPr>
          <w:rFonts w:eastAsiaTheme="minorEastAsia"/>
          <w:b/>
          <w:lang w:eastAsia="zh-CN"/>
        </w:rPr>
        <w:t>:</w:t>
      </w:r>
      <w:r w:rsidR="00C50081" w:rsidRPr="00116AFC">
        <w:rPr>
          <w:rFonts w:eastAsiaTheme="minorEastAsia"/>
          <w:b/>
          <w:lang w:eastAsia="zh-CN"/>
        </w:rPr>
        <w:t xml:space="preserve"> </w:t>
      </w:r>
    </w:p>
    <w:p w14:paraId="55F86817" w14:textId="227C374C" w:rsidR="00B72267" w:rsidRDefault="007B040B" w:rsidP="00E76A56">
      <w:pPr>
        <w:snapToGrid w:val="0"/>
        <w:spacing w:beforeLines="50" w:before="120" w:afterLines="50" w:after="120"/>
        <w:ind w:left="620"/>
        <w:jc w:val="both"/>
        <w:rPr>
          <w:rFonts w:eastAsiaTheme="minorEastAsia"/>
          <w:lang w:eastAsia="zh-CN"/>
        </w:rPr>
      </w:pPr>
      <w:r>
        <w:rPr>
          <w:rFonts w:eastAsiaTheme="minorEastAsia"/>
          <w:lang w:eastAsia="zh-CN"/>
        </w:rPr>
        <w:t>I</w:t>
      </w:r>
      <w:r w:rsidR="00C50081">
        <w:rPr>
          <w:rFonts w:eastAsiaTheme="minorEastAsia"/>
          <w:lang w:eastAsia="zh-CN"/>
        </w:rPr>
        <w:t xml:space="preserve">ndication of the </w:t>
      </w:r>
      <w:r w:rsidR="008B7B59">
        <w:rPr>
          <w:rFonts w:eastAsiaTheme="minorEastAsia"/>
          <w:lang w:eastAsia="zh-CN"/>
        </w:rPr>
        <w:t xml:space="preserve">full </w:t>
      </w:r>
      <w:r w:rsidR="00C50081">
        <w:rPr>
          <w:rFonts w:eastAsiaTheme="minorEastAsia"/>
          <w:lang w:eastAsia="zh-CN"/>
        </w:rPr>
        <w:t>common TA</w:t>
      </w:r>
      <w:r w:rsidR="008B7B59">
        <w:rPr>
          <w:rFonts w:eastAsiaTheme="minorEastAsia"/>
          <w:lang w:eastAsia="zh-CN"/>
        </w:rPr>
        <w:t xml:space="preserve"> </w:t>
      </w:r>
      <w:r w:rsidR="008B7B59" w:rsidRPr="0023387F">
        <w:rPr>
          <w:rFonts w:eastAsiaTheme="minorEastAsia"/>
          <w:lang w:eastAsia="zh-CN"/>
        </w:rPr>
        <w:t xml:space="preserve">(i.e., 2 times of transmission delay between network and reference point) from network to UE </w:t>
      </w:r>
      <w:r w:rsidR="008B7B59">
        <w:rPr>
          <w:rFonts w:eastAsiaTheme="minorEastAsia"/>
          <w:lang w:eastAsia="zh-CN"/>
        </w:rPr>
        <w:t>are proposed by [HW</w:t>
      </w:r>
      <w:r w:rsidR="0076324D">
        <w:rPr>
          <w:rFonts w:eastAsiaTheme="minorEastAsia"/>
          <w:lang w:eastAsia="zh-CN"/>
        </w:rPr>
        <w:t xml:space="preserve">, CAICT, </w:t>
      </w:r>
      <w:r w:rsidR="001D4B23">
        <w:rPr>
          <w:rFonts w:eastAsiaTheme="minorEastAsia"/>
          <w:lang w:eastAsia="zh-CN"/>
        </w:rPr>
        <w:t>Nokia</w:t>
      </w:r>
      <w:r w:rsidR="00AE07A9">
        <w:rPr>
          <w:rFonts w:eastAsiaTheme="minorEastAsia"/>
          <w:lang w:eastAsia="zh-CN"/>
        </w:rPr>
        <w:t>,</w:t>
      </w:r>
      <w:r w:rsidR="00AE07A9" w:rsidRPr="00AE07A9">
        <w:t xml:space="preserve"> </w:t>
      </w:r>
      <w:r w:rsidR="00AE07A9" w:rsidRPr="000D74AF">
        <w:t>Mitsubishi</w:t>
      </w:r>
      <w:r w:rsidR="00AE07A9">
        <w:t>,</w:t>
      </w:r>
      <w:r w:rsidR="0076324D">
        <w:t xml:space="preserve"> </w:t>
      </w:r>
      <w:r w:rsidR="00AE07A9">
        <w:t>ETRI</w:t>
      </w:r>
      <w:r w:rsidR="000E69D4">
        <w:t>,</w:t>
      </w:r>
      <w:r w:rsidR="000E69D4" w:rsidRPr="000E69D4">
        <w:t xml:space="preserve"> </w:t>
      </w:r>
      <w:r w:rsidR="0076324D">
        <w:t>CMCC, ZTE</w:t>
      </w:r>
      <w:r w:rsidR="008B7B59">
        <w:rPr>
          <w:rFonts w:eastAsiaTheme="minorEastAsia"/>
          <w:lang w:eastAsia="zh-CN"/>
        </w:rPr>
        <w:t>]</w:t>
      </w:r>
      <w:r w:rsidR="0076324D">
        <w:rPr>
          <w:rFonts w:eastAsiaTheme="minorEastAsia"/>
          <w:lang w:eastAsia="zh-CN"/>
        </w:rPr>
        <w:t xml:space="preserve"> </w:t>
      </w:r>
      <w:r w:rsidR="008B7B59" w:rsidRPr="0023387F">
        <w:rPr>
          <w:rFonts w:eastAsiaTheme="minorEastAsia"/>
          <w:lang w:eastAsia="zh-CN"/>
        </w:rPr>
        <w:t>in broadcasting way</w:t>
      </w:r>
      <w:r w:rsidR="0076324D">
        <w:rPr>
          <w:rFonts w:eastAsiaTheme="minorEastAsia"/>
          <w:lang w:eastAsia="zh-CN"/>
        </w:rPr>
        <w:t xml:space="preserve"> and [</w:t>
      </w:r>
      <w:r w:rsidR="0076324D">
        <w:t>Panasonic] highlights this value is preferred by the GNSS-incapable UE. Meanwhile, indication of the partial common TA is also mentioned by [HW, CAICT]</w:t>
      </w:r>
      <w:r w:rsidR="007D6D46">
        <w:t>, in which, residual TA should be maintained by the network-self.</w:t>
      </w:r>
      <w:r w:rsidR="00B95556">
        <w:t xml:space="preserve"> </w:t>
      </w:r>
      <w:r w:rsidR="00DE470D">
        <w:rPr>
          <w:rFonts w:eastAsiaTheme="minorEastAsia"/>
          <w:lang w:eastAsia="zh-CN"/>
        </w:rPr>
        <w:t>T</w:t>
      </w:r>
      <w:r w:rsidR="002E266F" w:rsidRPr="0023387F">
        <w:rPr>
          <w:rFonts w:eastAsiaTheme="minorEastAsia"/>
          <w:lang w:eastAsia="zh-CN"/>
        </w:rPr>
        <w:t xml:space="preserve">he consideration on the UE height </w:t>
      </w:r>
      <w:r w:rsidR="00310F45" w:rsidRPr="0023387F">
        <w:rPr>
          <w:rFonts w:eastAsiaTheme="minorEastAsia"/>
          <w:lang w:eastAsia="zh-CN"/>
        </w:rPr>
        <w:t>for</w:t>
      </w:r>
      <w:r w:rsidR="002E266F" w:rsidRPr="0023387F">
        <w:rPr>
          <w:rFonts w:eastAsiaTheme="minorEastAsia"/>
          <w:lang w:eastAsia="zh-CN"/>
        </w:rPr>
        <w:t xml:space="preserve"> the common TA calculatio</w:t>
      </w:r>
      <w:r w:rsidR="00B95556">
        <w:rPr>
          <w:rFonts w:eastAsiaTheme="minorEastAsia"/>
          <w:lang w:eastAsia="zh-CN"/>
        </w:rPr>
        <w:t>n is also highlighted by [Nokia</w:t>
      </w:r>
      <w:r w:rsidR="002E266F" w:rsidRPr="0023387F">
        <w:rPr>
          <w:rFonts w:eastAsiaTheme="minorEastAsia"/>
          <w:lang w:eastAsia="zh-CN"/>
        </w:rPr>
        <w:t>]</w:t>
      </w:r>
      <w:r w:rsidR="00310F45" w:rsidRPr="0023387F">
        <w:rPr>
          <w:rFonts w:eastAsiaTheme="minorEastAsia"/>
          <w:lang w:eastAsia="zh-CN"/>
        </w:rPr>
        <w:t xml:space="preserve">. </w:t>
      </w:r>
      <w:r w:rsidR="002A2E61">
        <w:rPr>
          <w:rFonts w:eastAsiaTheme="minorEastAsia"/>
          <w:lang w:eastAsia="zh-CN"/>
        </w:rPr>
        <w:t>T</w:t>
      </w:r>
      <w:r w:rsidR="00FD665C" w:rsidRPr="0023387F">
        <w:rPr>
          <w:rFonts w:eastAsiaTheme="minorEastAsia"/>
          <w:lang w:eastAsia="zh-CN"/>
        </w:rPr>
        <w:t>he extension of TA range indicated in RAR is proposed by [HW</w:t>
      </w:r>
      <w:r w:rsidR="00994317">
        <w:rPr>
          <w:rFonts w:eastAsiaTheme="minorEastAsia"/>
          <w:lang w:eastAsia="zh-CN"/>
        </w:rPr>
        <w:t>, CAICT</w:t>
      </w:r>
      <w:r w:rsidR="00FD665C" w:rsidRPr="0023387F">
        <w:rPr>
          <w:rFonts w:eastAsiaTheme="minorEastAsia"/>
          <w:lang w:eastAsia="zh-CN"/>
        </w:rPr>
        <w:t xml:space="preserve">, Nokia, </w:t>
      </w:r>
      <w:r>
        <w:rPr>
          <w:rFonts w:eastAsiaTheme="minorEastAsia"/>
          <w:lang w:eastAsia="zh-CN"/>
        </w:rPr>
        <w:t xml:space="preserve">Intel, </w:t>
      </w:r>
      <w:r w:rsidR="00CD1B25" w:rsidRPr="0023387F">
        <w:rPr>
          <w:rFonts w:eastAsiaTheme="minorEastAsia"/>
          <w:lang w:eastAsia="zh-CN"/>
        </w:rPr>
        <w:t>CMCC</w:t>
      </w:r>
      <w:r w:rsidR="000D4B29" w:rsidRPr="0023387F">
        <w:rPr>
          <w:rFonts w:eastAsiaTheme="minorEastAsia"/>
          <w:lang w:eastAsia="zh-CN"/>
        </w:rPr>
        <w:t xml:space="preserve">, </w:t>
      </w:r>
      <w:r w:rsidR="003822AB">
        <w:rPr>
          <w:rFonts w:eastAsiaTheme="minorEastAsia"/>
          <w:lang w:eastAsia="zh-CN"/>
        </w:rPr>
        <w:t>ZTE, Ericsson</w:t>
      </w:r>
      <w:r w:rsidR="00FD665C" w:rsidRPr="0023387F">
        <w:rPr>
          <w:rFonts w:eastAsiaTheme="minorEastAsia"/>
          <w:lang w:eastAsia="zh-CN"/>
        </w:rPr>
        <w:t>]</w:t>
      </w:r>
      <w:r w:rsidR="004533DE">
        <w:rPr>
          <w:rFonts w:eastAsiaTheme="minorEastAsia"/>
          <w:lang w:eastAsia="zh-CN"/>
        </w:rPr>
        <w:t xml:space="preserve"> including extension of bits field</w:t>
      </w:r>
      <w:r w:rsidR="00612C9A">
        <w:rPr>
          <w:rFonts w:eastAsiaTheme="minorEastAsia"/>
          <w:lang w:eastAsia="zh-CN"/>
        </w:rPr>
        <w:t xml:space="preserve"> or </w:t>
      </w:r>
      <w:r w:rsidR="004533DE">
        <w:rPr>
          <w:rFonts w:eastAsiaTheme="minorEastAsia"/>
          <w:lang w:eastAsia="zh-CN"/>
        </w:rPr>
        <w:t>introduction of scaling factor.</w:t>
      </w:r>
      <w:r w:rsidR="00A0274F" w:rsidRPr="0023387F">
        <w:rPr>
          <w:rFonts w:eastAsiaTheme="minorEastAsia"/>
          <w:lang w:eastAsia="zh-CN"/>
        </w:rPr>
        <w:t xml:space="preserve"> </w:t>
      </w:r>
    </w:p>
    <w:p w14:paraId="3081BD23" w14:textId="0B25FD3A" w:rsidR="00FD665C" w:rsidRDefault="00A0274F" w:rsidP="00FB43DE">
      <w:pPr>
        <w:snapToGrid w:val="0"/>
        <w:spacing w:beforeLines="50" w:before="120" w:afterLines="50" w:after="120"/>
        <w:ind w:left="620"/>
        <w:jc w:val="both"/>
        <w:rPr>
          <w:rFonts w:eastAsiaTheme="minorEastAsia"/>
          <w:lang w:eastAsia="zh-CN"/>
        </w:rPr>
      </w:pPr>
      <w:r w:rsidRPr="0023387F">
        <w:rPr>
          <w:rFonts w:eastAsiaTheme="minorEastAsia"/>
          <w:lang w:eastAsia="zh-CN"/>
        </w:rPr>
        <w:t>For the open-loop procedure,</w:t>
      </w:r>
      <w:r w:rsidR="00E13C70">
        <w:rPr>
          <w:rFonts w:eastAsiaTheme="minorEastAsia"/>
          <w:lang w:eastAsia="zh-CN"/>
        </w:rPr>
        <w:t xml:space="preserve"> [CATT</w:t>
      </w:r>
      <w:r w:rsidR="00994317">
        <w:rPr>
          <w:rFonts w:eastAsiaTheme="minorEastAsia"/>
          <w:lang w:eastAsia="zh-CN"/>
        </w:rPr>
        <w:t>, CAICT</w:t>
      </w:r>
      <w:r w:rsidR="00E13C70">
        <w:rPr>
          <w:rFonts w:eastAsiaTheme="minorEastAsia"/>
          <w:lang w:eastAsia="zh-CN"/>
        </w:rPr>
        <w:t>, Pengcheng laboratory, Panasonic]</w:t>
      </w:r>
      <w:r w:rsidR="00994317">
        <w:rPr>
          <w:rFonts w:eastAsiaTheme="minorEastAsia"/>
          <w:lang w:eastAsia="zh-CN"/>
        </w:rPr>
        <w:t xml:space="preserve"> propose</w:t>
      </w:r>
      <w:r w:rsidR="00E13C70">
        <w:rPr>
          <w:rFonts w:eastAsiaTheme="minorEastAsia"/>
          <w:lang w:eastAsia="zh-CN"/>
        </w:rPr>
        <w:t xml:space="preserve"> that the calculation of TA can be done by UE based on the knowledge of UE location and satellite ephemeris</w:t>
      </w:r>
      <w:r w:rsidR="00C40F1C">
        <w:rPr>
          <w:rFonts w:eastAsiaTheme="minorEastAsia"/>
          <w:lang w:eastAsia="zh-CN"/>
        </w:rPr>
        <w:t xml:space="preserve"> without indication from gNB</w:t>
      </w:r>
      <w:r w:rsidR="00E13C70">
        <w:rPr>
          <w:rFonts w:eastAsiaTheme="minorEastAsia"/>
          <w:lang w:eastAsia="zh-CN"/>
        </w:rPr>
        <w:t>.</w:t>
      </w:r>
      <w:r w:rsidR="00C40F1C">
        <w:rPr>
          <w:rFonts w:eastAsiaTheme="minorEastAsia"/>
          <w:lang w:eastAsia="zh-CN"/>
        </w:rPr>
        <w:t xml:space="preserve"> But [ZTE] propose that additional indication of common TA should also be considered even in open loop procedure, especially for satellite with transparent payload.</w:t>
      </w:r>
      <w:r w:rsidR="00E13C70">
        <w:rPr>
          <w:rFonts w:eastAsiaTheme="minorEastAsia"/>
          <w:lang w:eastAsia="zh-CN"/>
        </w:rPr>
        <w:t xml:space="preserve"> Furthermore, </w:t>
      </w:r>
      <w:r w:rsidR="00FB43DE">
        <w:rPr>
          <w:rFonts w:eastAsiaTheme="minorEastAsia"/>
          <w:lang w:eastAsia="zh-CN"/>
        </w:rPr>
        <w:t>[CATT</w:t>
      </w:r>
      <w:r w:rsidR="00E13C70">
        <w:rPr>
          <w:rFonts w:eastAsiaTheme="minorEastAsia"/>
          <w:lang w:eastAsia="zh-CN"/>
        </w:rPr>
        <w:t>, CAICT] propose</w:t>
      </w:r>
      <w:r w:rsidR="00FB43DE">
        <w:rPr>
          <w:rFonts w:eastAsiaTheme="minorEastAsia"/>
          <w:lang w:eastAsia="zh-CN"/>
        </w:rPr>
        <w:t xml:space="preserve"> that </w:t>
      </w:r>
      <w:r w:rsidR="00236375">
        <w:rPr>
          <w:rFonts w:eastAsiaTheme="minorEastAsia"/>
          <w:lang w:eastAsia="zh-CN"/>
        </w:rPr>
        <w:t xml:space="preserve">with </w:t>
      </w:r>
      <w:r w:rsidR="00A52109" w:rsidRPr="0023387F">
        <w:rPr>
          <w:rFonts w:eastAsiaTheme="minorEastAsia"/>
          <w:lang w:eastAsia="zh-CN"/>
        </w:rPr>
        <w:t>indication of common reference distance,</w:t>
      </w:r>
      <w:r w:rsidR="00D90D0F" w:rsidRPr="0023387F">
        <w:rPr>
          <w:rFonts w:eastAsiaTheme="minorEastAsia"/>
          <w:lang w:eastAsia="zh-CN"/>
        </w:rPr>
        <w:t xml:space="preserve"> UE will </w:t>
      </w:r>
      <w:r w:rsidR="00592A3D">
        <w:rPr>
          <w:rFonts w:eastAsiaTheme="minorEastAsia"/>
          <w:lang w:eastAsia="zh-CN"/>
        </w:rPr>
        <w:t xml:space="preserve">only </w:t>
      </w:r>
      <w:r w:rsidR="00D90D0F" w:rsidRPr="0023387F">
        <w:rPr>
          <w:rFonts w:eastAsiaTheme="minorEastAsia"/>
          <w:lang w:eastAsia="zh-CN"/>
        </w:rPr>
        <w:t>compensate UE specific TA</w:t>
      </w:r>
      <w:r w:rsidR="00405105">
        <w:rPr>
          <w:rFonts w:eastAsiaTheme="minorEastAsia"/>
          <w:lang w:eastAsia="zh-CN"/>
        </w:rPr>
        <w:t xml:space="preserve"> based on self-calculation</w:t>
      </w:r>
      <w:r w:rsidR="00D90D0F" w:rsidRPr="0023387F">
        <w:rPr>
          <w:rFonts w:eastAsiaTheme="minorEastAsia"/>
          <w:lang w:eastAsia="zh-CN"/>
        </w:rPr>
        <w:t xml:space="preserve">, while </w:t>
      </w:r>
      <w:r w:rsidR="00592A3D">
        <w:rPr>
          <w:rFonts w:eastAsiaTheme="minorEastAsia"/>
          <w:lang w:eastAsia="zh-CN"/>
        </w:rPr>
        <w:t xml:space="preserve">residual </w:t>
      </w:r>
      <w:r w:rsidR="00D90D0F" w:rsidRPr="0023387F">
        <w:rPr>
          <w:rFonts w:eastAsiaTheme="minorEastAsia"/>
          <w:lang w:eastAsia="zh-CN"/>
        </w:rPr>
        <w:t>timing offset between DL and UL frame will be maintained by gNB of one cell or one satellite.</w:t>
      </w:r>
      <w:r w:rsidR="00116AFC">
        <w:rPr>
          <w:rFonts w:eastAsiaTheme="minorEastAsia"/>
          <w:lang w:eastAsia="zh-CN"/>
        </w:rPr>
        <w:t xml:space="preserve"> </w:t>
      </w:r>
    </w:p>
    <w:p w14:paraId="73764848" w14:textId="3BA3D2BC" w:rsidR="00EB7AB5" w:rsidRPr="00116AFC" w:rsidRDefault="00EB7AB5" w:rsidP="00EB7AB5">
      <w:pPr>
        <w:snapToGrid w:val="0"/>
        <w:spacing w:beforeLines="50" w:before="120" w:afterLines="50" w:after="120"/>
        <w:ind w:left="620"/>
        <w:rPr>
          <w:rFonts w:eastAsiaTheme="minorEastAsia"/>
          <w:b/>
          <w:lang w:eastAsia="zh-CN"/>
        </w:rPr>
      </w:pPr>
      <w:r w:rsidRPr="00116AFC">
        <w:rPr>
          <w:rFonts w:eastAsiaTheme="minorEastAsia"/>
          <w:b/>
          <w:lang w:eastAsia="zh-CN"/>
        </w:rPr>
        <w:t xml:space="preserve">For the TA </w:t>
      </w:r>
      <w:r w:rsidR="002B4B0F" w:rsidRPr="00116AFC">
        <w:rPr>
          <w:rFonts w:eastAsiaTheme="minorEastAsia"/>
          <w:b/>
          <w:lang w:eastAsia="zh-CN"/>
        </w:rPr>
        <w:t>maintenance</w:t>
      </w:r>
      <w:r w:rsidRPr="00116AFC">
        <w:rPr>
          <w:rFonts w:eastAsiaTheme="minorEastAsia"/>
          <w:b/>
          <w:lang w:eastAsia="zh-CN"/>
        </w:rPr>
        <w:t xml:space="preserve">: </w:t>
      </w:r>
    </w:p>
    <w:p w14:paraId="4F931A99" w14:textId="58D877D0" w:rsidR="0094520A" w:rsidRPr="00EB7AB5" w:rsidRDefault="00116AFC" w:rsidP="0023387F">
      <w:pPr>
        <w:snapToGrid w:val="0"/>
        <w:spacing w:beforeLines="50" w:before="120" w:afterLines="50" w:after="120"/>
        <w:ind w:left="620"/>
        <w:rPr>
          <w:rFonts w:eastAsiaTheme="minorEastAsia"/>
          <w:lang w:eastAsia="zh-CN"/>
        </w:rPr>
      </w:pPr>
      <w:r>
        <w:rPr>
          <w:rFonts w:eastAsiaTheme="minorEastAsia" w:hint="eastAsia"/>
          <w:lang w:eastAsia="zh-CN"/>
        </w:rPr>
        <w:t>A</w:t>
      </w:r>
      <w:r>
        <w:rPr>
          <w:rFonts w:eastAsiaTheme="minorEastAsia"/>
          <w:lang w:eastAsia="zh-CN"/>
        </w:rPr>
        <w:t>s mentioned by [HW</w:t>
      </w:r>
      <w:r w:rsidR="00EC6B24">
        <w:rPr>
          <w:rFonts w:eastAsiaTheme="minorEastAsia"/>
          <w:lang w:eastAsia="zh-CN"/>
        </w:rPr>
        <w:t>, CAICT</w:t>
      </w:r>
      <w:r>
        <w:rPr>
          <w:rFonts w:eastAsiaTheme="minorEastAsia"/>
          <w:lang w:eastAsia="zh-CN"/>
        </w:rPr>
        <w:t xml:space="preserve">, </w:t>
      </w:r>
      <w:r w:rsidR="001F2DA0">
        <w:rPr>
          <w:rFonts w:eastAsiaTheme="minorEastAsia"/>
          <w:lang w:eastAsia="zh-CN"/>
        </w:rPr>
        <w:t>Nokia,</w:t>
      </w:r>
      <w:r w:rsidR="00233A1B">
        <w:rPr>
          <w:rFonts w:eastAsiaTheme="minorEastAsia"/>
          <w:lang w:eastAsia="zh-CN"/>
        </w:rPr>
        <w:t xml:space="preserve"> </w:t>
      </w:r>
      <w:r w:rsidR="00065E95">
        <w:rPr>
          <w:rFonts w:eastAsiaTheme="minorEastAsia"/>
          <w:lang w:eastAsia="zh-CN"/>
        </w:rPr>
        <w:t>OPPO,</w:t>
      </w:r>
      <w:r w:rsidR="001F2DA0">
        <w:rPr>
          <w:rFonts w:eastAsiaTheme="minorEastAsia"/>
          <w:lang w:eastAsia="zh-CN"/>
        </w:rPr>
        <w:t xml:space="preserve"> </w:t>
      </w:r>
      <w:r w:rsidR="00065E95">
        <w:rPr>
          <w:rFonts w:eastAsiaTheme="minorEastAsia"/>
          <w:lang w:eastAsia="zh-CN"/>
        </w:rPr>
        <w:t xml:space="preserve">Ericsson, </w:t>
      </w:r>
      <w:r>
        <w:rPr>
          <w:rFonts w:eastAsiaTheme="minorEastAsia"/>
          <w:lang w:eastAsia="zh-CN"/>
        </w:rPr>
        <w:t>ZTE]</w:t>
      </w:r>
      <w:r w:rsidR="001F2DA0">
        <w:rPr>
          <w:rFonts w:eastAsiaTheme="minorEastAsia"/>
          <w:lang w:eastAsia="zh-CN"/>
        </w:rPr>
        <w:t xml:space="preserve">, considering the TA drift, indication of parameters from gNB to UE can be considered to </w:t>
      </w:r>
      <w:r w:rsidR="001F2DA0" w:rsidRPr="000D74AF">
        <w:t>enable autonomous TA update by the UE</w:t>
      </w:r>
      <w:r w:rsidR="001F2DA0">
        <w:t>. Moreover, for reducing the signalling overhead, cell/group-specific signalling can be considered [HW</w:t>
      </w:r>
      <w:r w:rsidR="00C71A91">
        <w:t>, CAICT, QC</w:t>
      </w:r>
      <w:r w:rsidR="002D30B4">
        <w:t>, ZTE</w:t>
      </w:r>
      <w:r w:rsidR="001F2DA0">
        <w:t>].</w:t>
      </w:r>
    </w:p>
    <w:p w14:paraId="7AF46AC9" w14:textId="6FBBC9DB" w:rsidR="00A52109" w:rsidRPr="00171832" w:rsidRDefault="00A52109" w:rsidP="009863AD">
      <w:pPr>
        <w:snapToGrid w:val="0"/>
        <w:spacing w:beforeLines="50" w:before="120" w:afterLines="50" w:after="120"/>
        <w:ind w:leftChars="244" w:left="488" w:firstLine="88"/>
        <w:jc w:val="both"/>
        <w:rPr>
          <w:b/>
          <w:i/>
          <w:color w:val="000000" w:themeColor="text1"/>
          <w:lang w:eastAsia="zh-CN"/>
        </w:rPr>
      </w:pPr>
      <w:r w:rsidRPr="00171832">
        <w:rPr>
          <w:color w:val="000000" w:themeColor="text1"/>
          <w:lang w:val="en-US" w:eastAsia="zh-CN"/>
        </w:rPr>
        <w:t xml:space="preserve">Based on the above </w:t>
      </w:r>
      <w:r>
        <w:rPr>
          <w:color w:val="000000" w:themeColor="text1"/>
          <w:lang w:val="en-US" w:eastAsia="zh-CN"/>
        </w:rPr>
        <w:t>analysis</w:t>
      </w:r>
      <w:r w:rsidRPr="00171832">
        <w:rPr>
          <w:color w:val="000000" w:themeColor="text1"/>
          <w:lang w:val="en-US" w:eastAsia="zh-CN"/>
        </w:rPr>
        <w:t xml:space="preserve">, following proposal </w:t>
      </w:r>
      <w:r w:rsidR="00C15064">
        <w:rPr>
          <w:color w:val="000000" w:themeColor="text1"/>
          <w:lang w:val="en-US" w:eastAsia="zh-CN"/>
        </w:rPr>
        <w:t>is proposed</w:t>
      </w:r>
      <w:r>
        <w:rPr>
          <w:color w:val="000000" w:themeColor="text1"/>
          <w:lang w:val="en-US" w:eastAsia="zh-CN"/>
        </w:rPr>
        <w:t xml:space="preserve"> according to majority view</w:t>
      </w:r>
      <w:r w:rsidRPr="00171832">
        <w:rPr>
          <w:color w:val="000000" w:themeColor="text1"/>
          <w:lang w:val="en-US" w:eastAsia="zh-CN"/>
        </w:rPr>
        <w:t>:</w:t>
      </w:r>
    </w:p>
    <w:p w14:paraId="67085565" w14:textId="44536633" w:rsidR="00E718C9" w:rsidRPr="00185B19" w:rsidRDefault="00E718C9" w:rsidP="00A30699">
      <w:pPr>
        <w:snapToGrid w:val="0"/>
        <w:spacing w:beforeLines="50" w:before="120" w:afterLines="50" w:after="120"/>
        <w:ind w:leftChars="300" w:left="600"/>
        <w:jc w:val="both"/>
        <w:rPr>
          <w:i/>
          <w:color w:val="000000" w:themeColor="text1"/>
          <w:lang w:eastAsia="zh-CN"/>
        </w:rPr>
      </w:pPr>
      <w:r w:rsidRPr="00E718C9">
        <w:rPr>
          <w:rFonts w:hint="eastAsia"/>
          <w:b/>
          <w:i/>
          <w:color w:val="000000" w:themeColor="text1"/>
          <w:lang w:eastAsia="zh-CN"/>
        </w:rPr>
        <w:t>P</w:t>
      </w:r>
      <w:r w:rsidRPr="00E718C9">
        <w:rPr>
          <w:b/>
          <w:i/>
          <w:color w:val="000000" w:themeColor="text1"/>
          <w:lang w:eastAsia="zh-CN"/>
        </w:rPr>
        <w:t xml:space="preserve">roposal </w:t>
      </w:r>
      <w:r w:rsidR="00D25A56">
        <w:rPr>
          <w:b/>
          <w:i/>
          <w:color w:val="000000" w:themeColor="text1"/>
          <w:lang w:eastAsia="zh-CN"/>
        </w:rPr>
        <w:t>4</w:t>
      </w:r>
      <w:r w:rsidRPr="00E718C9">
        <w:rPr>
          <w:b/>
          <w:i/>
          <w:color w:val="000000" w:themeColor="text1"/>
          <w:lang w:eastAsia="zh-CN"/>
        </w:rPr>
        <w:t xml:space="preserve">: </w:t>
      </w:r>
      <w:r w:rsidR="001B2BAE" w:rsidRPr="00185B19">
        <w:rPr>
          <w:i/>
          <w:color w:val="000000" w:themeColor="text1"/>
          <w:lang w:eastAsia="zh-CN"/>
        </w:rPr>
        <w:t xml:space="preserve">Both open and closed methods can be considered </w:t>
      </w:r>
      <w:r w:rsidR="00B82FC1" w:rsidRPr="00185B19">
        <w:rPr>
          <w:i/>
          <w:color w:val="000000" w:themeColor="text1"/>
          <w:lang w:eastAsia="zh-CN"/>
        </w:rPr>
        <w:t xml:space="preserve">to support </w:t>
      </w:r>
      <w:r w:rsidRPr="00185B19">
        <w:rPr>
          <w:i/>
          <w:color w:val="000000" w:themeColor="text1"/>
          <w:lang w:eastAsia="zh-CN"/>
        </w:rPr>
        <w:t xml:space="preserve">TA </w:t>
      </w:r>
      <w:r w:rsidR="001B2BAE" w:rsidRPr="00185B19">
        <w:rPr>
          <w:i/>
          <w:color w:val="000000" w:themeColor="text1"/>
          <w:lang w:eastAsia="zh-CN"/>
        </w:rPr>
        <w:t>adjustment</w:t>
      </w:r>
      <w:r w:rsidR="00B82FC1" w:rsidRPr="00185B19">
        <w:rPr>
          <w:i/>
          <w:color w:val="000000" w:themeColor="text1"/>
          <w:lang w:eastAsia="zh-CN"/>
        </w:rPr>
        <w:t xml:space="preserve"> </w:t>
      </w:r>
      <w:r w:rsidRPr="00185B19">
        <w:rPr>
          <w:i/>
          <w:color w:val="000000" w:themeColor="text1"/>
          <w:lang w:eastAsia="zh-CN"/>
        </w:rPr>
        <w:t xml:space="preserve">for UL transmission </w:t>
      </w:r>
      <w:r w:rsidRPr="008D1D6E">
        <w:rPr>
          <w:i/>
          <w:strike/>
          <w:color w:val="000000" w:themeColor="text1"/>
          <w:lang w:eastAsia="zh-CN"/>
        </w:rPr>
        <w:t>in NTN</w:t>
      </w:r>
      <w:r w:rsidRPr="00185B19">
        <w:rPr>
          <w:i/>
          <w:color w:val="000000" w:themeColor="text1"/>
          <w:lang w:eastAsia="zh-CN"/>
        </w:rPr>
        <w:t>:</w:t>
      </w:r>
    </w:p>
    <w:p w14:paraId="476C8577" w14:textId="77777777" w:rsidR="001E55C9" w:rsidRDefault="001B2BAE" w:rsidP="00A30699">
      <w:pPr>
        <w:pStyle w:val="ListParagraph"/>
        <w:numPr>
          <w:ilvl w:val="3"/>
          <w:numId w:val="16"/>
        </w:numPr>
        <w:snapToGrid w:val="0"/>
        <w:spacing w:beforeLines="50" w:before="120" w:afterLines="50" w:after="120"/>
        <w:ind w:leftChars="830" w:left="2080"/>
        <w:jc w:val="both"/>
        <w:rPr>
          <w:rFonts w:ascii="Times New Roman" w:hAnsi="Times New Roman"/>
          <w:i/>
          <w:color w:val="000000" w:themeColor="text1"/>
          <w:sz w:val="20"/>
          <w:szCs w:val="20"/>
        </w:rPr>
      </w:pPr>
      <w:r>
        <w:rPr>
          <w:rFonts w:ascii="Times New Roman" w:hAnsi="Times New Roman"/>
          <w:i/>
          <w:color w:val="000000" w:themeColor="text1"/>
          <w:sz w:val="20"/>
          <w:szCs w:val="20"/>
          <w:lang w:eastAsia="zh-CN"/>
        </w:rPr>
        <w:t>For open loop methods</w:t>
      </w:r>
    </w:p>
    <w:p w14:paraId="4050AD24" w14:textId="2A8295E4" w:rsidR="00432E20" w:rsidRPr="00432E20" w:rsidRDefault="001B2BAE" w:rsidP="00A30699">
      <w:pPr>
        <w:pStyle w:val="ListParagraph"/>
        <w:numPr>
          <w:ilvl w:val="3"/>
          <w:numId w:val="16"/>
        </w:numPr>
        <w:snapToGrid w:val="0"/>
        <w:spacing w:beforeLines="50" w:before="120" w:afterLines="50" w:after="120"/>
        <w:ind w:leftChars="1030" w:left="2480"/>
        <w:jc w:val="both"/>
        <w:rPr>
          <w:rFonts w:ascii="Times New Roman" w:hAnsi="Times New Roman"/>
          <w:i/>
          <w:color w:val="000000" w:themeColor="text1"/>
          <w:sz w:val="20"/>
          <w:szCs w:val="20"/>
        </w:rPr>
      </w:pPr>
      <w:r w:rsidRPr="001E55C9">
        <w:rPr>
          <w:rFonts w:ascii="Times New Roman" w:hAnsi="Times New Roman"/>
          <w:i/>
          <w:color w:val="000000" w:themeColor="text1"/>
          <w:sz w:val="20"/>
          <w:szCs w:val="20"/>
          <w:lang w:eastAsia="zh-CN"/>
        </w:rPr>
        <w:t>Autonomous acquisition of the TA at UE with known location and satellite ephemeris:   </w:t>
      </w:r>
    </w:p>
    <w:p w14:paraId="5621DB03" w14:textId="4136EF55" w:rsidR="001B2BAE" w:rsidRPr="00AF006B" w:rsidRDefault="001B2BAE" w:rsidP="00A30699">
      <w:pPr>
        <w:pStyle w:val="ListParagraph"/>
        <w:numPr>
          <w:ilvl w:val="4"/>
          <w:numId w:val="15"/>
        </w:numPr>
        <w:snapToGrid w:val="0"/>
        <w:spacing w:beforeLines="50" w:before="120" w:afterLines="50" w:after="120"/>
        <w:ind w:leftChars="1240" w:left="2900"/>
        <w:jc w:val="both"/>
        <w:rPr>
          <w:rFonts w:ascii="Times New Roman" w:hAnsi="Times New Roman"/>
          <w:i/>
          <w:color w:val="000000" w:themeColor="text1"/>
          <w:sz w:val="20"/>
          <w:szCs w:val="20"/>
          <w:lang w:eastAsia="zh-CN"/>
        </w:rPr>
      </w:pPr>
      <w:bookmarkStart w:id="2" w:name="_GoBack"/>
      <w:bookmarkEnd w:id="2"/>
      <w:r w:rsidRPr="00AF006B">
        <w:rPr>
          <w:rFonts w:ascii="Times New Roman" w:eastAsia="宋体" w:hAnsi="Times New Roman"/>
          <w:i/>
          <w:color w:val="000000" w:themeColor="text1"/>
          <w:sz w:val="20"/>
          <w:szCs w:val="20"/>
          <w:lang w:val="en-GB" w:eastAsia="zh-CN"/>
        </w:rPr>
        <w:t xml:space="preserve">FFS on how to </w:t>
      </w:r>
      <w:r w:rsidR="00DC6D40" w:rsidRPr="00AF006B">
        <w:rPr>
          <w:rFonts w:ascii="Times New Roman" w:eastAsia="宋体" w:hAnsi="Times New Roman"/>
          <w:i/>
          <w:color w:val="000000" w:themeColor="text1"/>
          <w:sz w:val="20"/>
          <w:szCs w:val="20"/>
          <w:lang w:val="en-GB" w:eastAsia="zh-CN"/>
        </w:rPr>
        <w:t xml:space="preserve">compensate the TA, e.g., full TA or only UE specific TA </w:t>
      </w:r>
    </w:p>
    <w:p w14:paraId="16062AFE" w14:textId="25CF9672" w:rsidR="00525118" w:rsidRPr="00AF006B" w:rsidRDefault="00525118" w:rsidP="00A30699">
      <w:pPr>
        <w:pStyle w:val="ListParagraph"/>
        <w:numPr>
          <w:ilvl w:val="7"/>
          <w:numId w:val="15"/>
        </w:numPr>
        <w:snapToGrid w:val="0"/>
        <w:spacing w:beforeLines="50" w:before="120" w:afterLines="50" w:after="120"/>
        <w:jc w:val="both"/>
        <w:rPr>
          <w:rFonts w:ascii="Times New Roman" w:hAnsi="Times New Roman"/>
          <w:i/>
          <w:color w:val="000000" w:themeColor="text1"/>
          <w:sz w:val="20"/>
          <w:szCs w:val="20"/>
        </w:rPr>
      </w:pPr>
      <w:r w:rsidRPr="00AF006B">
        <w:rPr>
          <w:rFonts w:ascii="Times New Roman" w:hAnsi="Times New Roman"/>
          <w:i/>
          <w:color w:val="000000" w:themeColor="text1"/>
          <w:sz w:val="20"/>
          <w:szCs w:val="20"/>
          <w:lang w:eastAsia="zh-CN"/>
        </w:rPr>
        <w:t>Note: If only UE specific TA is compensated, timing offset between DL and UL frame should be maintained by network and acquisition of common TA may be needed.</w:t>
      </w:r>
    </w:p>
    <w:p w14:paraId="314B0C50" w14:textId="1E704270" w:rsidR="00432E20" w:rsidRPr="00432E20" w:rsidRDefault="001B2BAE"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432E20">
        <w:rPr>
          <w:rFonts w:ascii="Times New Roman" w:eastAsia="宋体" w:hAnsi="Times New Roman"/>
          <w:i/>
          <w:color w:val="000000" w:themeColor="text1"/>
          <w:sz w:val="20"/>
          <w:szCs w:val="20"/>
          <w:lang w:val="en-GB" w:eastAsia="zh-CN"/>
        </w:rPr>
        <w:t xml:space="preserve">FFS on </w:t>
      </w:r>
      <w:r w:rsidR="00432E20" w:rsidRPr="00432E20">
        <w:rPr>
          <w:rFonts w:ascii="Times New Roman" w:eastAsia="宋体" w:hAnsi="Times New Roman"/>
          <w:i/>
          <w:color w:val="000000" w:themeColor="text1"/>
          <w:sz w:val="20"/>
          <w:szCs w:val="20"/>
          <w:lang w:val="en-GB" w:eastAsia="zh-CN"/>
        </w:rPr>
        <w:t>additional assist information from BS</w:t>
      </w:r>
      <w:r w:rsidR="00664838">
        <w:rPr>
          <w:rFonts w:ascii="Times New Roman" w:eastAsia="宋体" w:hAnsi="Times New Roman"/>
          <w:i/>
          <w:color w:val="000000" w:themeColor="text1"/>
          <w:sz w:val="20"/>
          <w:szCs w:val="20"/>
          <w:lang w:val="en-GB" w:eastAsia="zh-CN"/>
        </w:rPr>
        <w:t xml:space="preserve"> considering the potential inaccuracy.</w:t>
      </w:r>
    </w:p>
    <w:p w14:paraId="60D059AA" w14:textId="272433CD" w:rsidR="001E55C9" w:rsidRPr="00432E20" w:rsidRDefault="001B2BAE" w:rsidP="00A30699">
      <w:pPr>
        <w:pStyle w:val="ListParagraph"/>
        <w:numPr>
          <w:ilvl w:val="3"/>
          <w:numId w:val="16"/>
        </w:numPr>
        <w:snapToGrid w:val="0"/>
        <w:spacing w:beforeLines="50" w:before="120" w:afterLines="50" w:after="120"/>
        <w:ind w:leftChars="830" w:left="2080"/>
        <w:jc w:val="both"/>
        <w:rPr>
          <w:rFonts w:ascii="Times New Roman" w:hAnsi="Times New Roman"/>
          <w:i/>
          <w:color w:val="000000" w:themeColor="text1"/>
          <w:sz w:val="20"/>
          <w:szCs w:val="20"/>
        </w:rPr>
      </w:pPr>
      <w:r w:rsidRPr="00432E20">
        <w:rPr>
          <w:rFonts w:ascii="Times New Roman" w:hAnsi="Times New Roman" w:hint="eastAsia"/>
          <w:i/>
          <w:color w:val="000000" w:themeColor="text1"/>
          <w:sz w:val="20"/>
          <w:szCs w:val="20"/>
        </w:rPr>
        <w:t>F</w:t>
      </w:r>
      <w:r w:rsidRPr="00432E20">
        <w:rPr>
          <w:rFonts w:ascii="Times New Roman" w:hAnsi="Times New Roman"/>
          <w:i/>
          <w:color w:val="000000" w:themeColor="text1"/>
          <w:sz w:val="20"/>
          <w:szCs w:val="20"/>
        </w:rPr>
        <w:t>or closed-loop methods</w:t>
      </w:r>
    </w:p>
    <w:p w14:paraId="45C0ECAA" w14:textId="013A309F" w:rsidR="00E718C9" w:rsidRPr="001E55C9" w:rsidRDefault="00E718C9" w:rsidP="00A30699">
      <w:pPr>
        <w:pStyle w:val="ListParagraph"/>
        <w:numPr>
          <w:ilvl w:val="3"/>
          <w:numId w:val="16"/>
        </w:numPr>
        <w:snapToGrid w:val="0"/>
        <w:spacing w:beforeLines="50" w:before="120" w:afterLines="50" w:after="120"/>
        <w:ind w:leftChars="1030" w:left="2480"/>
        <w:jc w:val="both"/>
        <w:rPr>
          <w:rFonts w:ascii="Times New Roman" w:hAnsi="Times New Roman"/>
          <w:i/>
          <w:color w:val="000000" w:themeColor="text1"/>
          <w:sz w:val="20"/>
          <w:szCs w:val="20"/>
        </w:rPr>
      </w:pPr>
      <w:r w:rsidRPr="001E55C9">
        <w:rPr>
          <w:rFonts w:ascii="Times New Roman" w:hAnsi="Times New Roman"/>
          <w:i/>
          <w:color w:val="000000" w:themeColor="text1"/>
          <w:sz w:val="20"/>
          <w:szCs w:val="20"/>
          <w:lang w:eastAsia="zh-CN"/>
        </w:rPr>
        <w:t xml:space="preserve">Indication of common TA to </w:t>
      </w:r>
      <w:r w:rsidRPr="001E55C9">
        <w:rPr>
          <w:rFonts w:ascii="Times New Roman" w:hAnsi="Times New Roman"/>
          <w:i/>
          <w:color w:val="000000" w:themeColor="text1"/>
          <w:sz w:val="20"/>
          <w:szCs w:val="20"/>
        </w:rPr>
        <w:t>all users within the coverage of same beam with following</w:t>
      </w:r>
    </w:p>
    <w:p w14:paraId="6D5165C9" w14:textId="78D59E4F" w:rsidR="00AF5D95" w:rsidRPr="009D6CAB" w:rsidRDefault="00AF5D95"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9D6CAB">
        <w:rPr>
          <w:rFonts w:ascii="Times New Roman" w:eastAsia="宋体" w:hAnsi="Times New Roman"/>
          <w:i/>
          <w:color w:val="000000" w:themeColor="text1"/>
          <w:sz w:val="20"/>
          <w:szCs w:val="20"/>
          <w:lang w:val="en-GB" w:eastAsia="zh-CN"/>
        </w:rPr>
        <w:t>Broadcasting can be considered as baseline for signalling, e.g., via SIB/MIB</w:t>
      </w:r>
    </w:p>
    <w:p w14:paraId="7C62219F" w14:textId="77777777" w:rsidR="00E92270" w:rsidRPr="009D6CAB" w:rsidRDefault="00E92270"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9D6CAB">
        <w:rPr>
          <w:rFonts w:ascii="Times New Roman" w:eastAsia="宋体" w:hAnsi="Times New Roman"/>
          <w:i/>
          <w:color w:val="000000" w:themeColor="text1"/>
          <w:sz w:val="20"/>
          <w:szCs w:val="20"/>
          <w:lang w:val="en-GB" w:eastAsia="zh-CN"/>
        </w:rPr>
        <w:t>Additional UE-specific TA indicated in RAR with extension of existing TA range</w:t>
      </w:r>
    </w:p>
    <w:p w14:paraId="71D77291" w14:textId="1C7B93D8" w:rsidR="00E718C9" w:rsidRDefault="00E718C9"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9D6CAB">
        <w:rPr>
          <w:rFonts w:ascii="Times New Roman" w:eastAsia="宋体" w:hAnsi="Times New Roman"/>
          <w:i/>
          <w:color w:val="000000" w:themeColor="text1"/>
          <w:sz w:val="20"/>
          <w:szCs w:val="20"/>
          <w:lang w:val="en-GB" w:eastAsia="zh-CN"/>
        </w:rPr>
        <w:t>FFS on the reference</w:t>
      </w:r>
      <w:r w:rsidR="00AF5D95" w:rsidRPr="009D6CAB">
        <w:rPr>
          <w:rFonts w:ascii="Times New Roman" w:eastAsia="宋体" w:hAnsi="Times New Roman"/>
          <w:i/>
          <w:color w:val="000000" w:themeColor="text1"/>
          <w:sz w:val="20"/>
          <w:szCs w:val="20"/>
          <w:lang w:val="en-GB" w:eastAsia="zh-CN"/>
        </w:rPr>
        <w:t xml:space="preserve"> point</w:t>
      </w:r>
      <w:r w:rsidRPr="009D6CAB">
        <w:rPr>
          <w:rFonts w:ascii="Times New Roman" w:eastAsia="宋体" w:hAnsi="Times New Roman"/>
          <w:i/>
          <w:color w:val="000000" w:themeColor="text1"/>
          <w:sz w:val="20"/>
          <w:szCs w:val="20"/>
          <w:lang w:val="en-GB" w:eastAsia="zh-CN"/>
        </w:rPr>
        <w:t xml:space="preserve">  for common TA calculation</w:t>
      </w:r>
      <w:r w:rsidR="00AF5D95" w:rsidRPr="009D6CAB">
        <w:rPr>
          <w:rFonts w:ascii="Times New Roman" w:eastAsia="宋体" w:hAnsi="Times New Roman"/>
          <w:i/>
          <w:color w:val="000000" w:themeColor="text1"/>
          <w:sz w:val="20"/>
          <w:szCs w:val="20"/>
          <w:lang w:val="en-GB" w:eastAsia="zh-CN"/>
        </w:rPr>
        <w:t xml:space="preserve"> (e.g., with/without consideration on </w:t>
      </w:r>
      <w:r w:rsidR="000D4B29">
        <w:rPr>
          <w:rFonts w:ascii="Times New Roman" w:eastAsia="宋体" w:hAnsi="Times New Roman"/>
          <w:i/>
          <w:color w:val="000000" w:themeColor="text1"/>
          <w:sz w:val="20"/>
          <w:szCs w:val="20"/>
          <w:lang w:val="en-GB" w:eastAsia="zh-CN"/>
        </w:rPr>
        <w:t>UE altitude</w:t>
      </w:r>
      <w:r w:rsidR="00AF5D95" w:rsidRPr="009D6CAB">
        <w:rPr>
          <w:rFonts w:ascii="Times New Roman" w:eastAsia="宋体" w:hAnsi="Times New Roman"/>
          <w:i/>
          <w:color w:val="000000" w:themeColor="text1"/>
          <w:sz w:val="20"/>
          <w:szCs w:val="20"/>
          <w:lang w:val="en-GB" w:eastAsia="zh-CN"/>
        </w:rPr>
        <w:t>)</w:t>
      </w:r>
    </w:p>
    <w:p w14:paraId="11DE3A37" w14:textId="5F949771" w:rsidR="002024DB" w:rsidRDefault="000B7508" w:rsidP="00A30699">
      <w:pPr>
        <w:pStyle w:val="ListParagraph"/>
        <w:numPr>
          <w:ilvl w:val="3"/>
          <w:numId w:val="16"/>
        </w:numPr>
        <w:snapToGrid w:val="0"/>
        <w:spacing w:beforeLines="50" w:before="120" w:afterLines="50" w:after="120"/>
        <w:ind w:leftChars="1030" w:left="2480"/>
        <w:jc w:val="both"/>
        <w:rPr>
          <w:rFonts w:ascii="Times New Roman" w:eastAsia="宋体" w:hAnsi="Times New Roman"/>
          <w:i/>
          <w:color w:val="000000" w:themeColor="text1"/>
          <w:sz w:val="20"/>
          <w:szCs w:val="20"/>
          <w:lang w:val="en-GB" w:eastAsia="zh-CN"/>
        </w:rPr>
      </w:pPr>
      <w:r>
        <w:rPr>
          <w:rFonts w:ascii="Times New Roman" w:eastAsia="宋体" w:hAnsi="Times New Roman"/>
          <w:i/>
          <w:color w:val="000000" w:themeColor="text1"/>
          <w:sz w:val="20"/>
          <w:szCs w:val="20"/>
          <w:lang w:val="en-GB" w:eastAsia="zh-CN"/>
        </w:rPr>
        <w:t xml:space="preserve">Additional </w:t>
      </w:r>
      <w:r w:rsidR="002024DB">
        <w:rPr>
          <w:rFonts w:ascii="Times New Roman" w:eastAsia="宋体" w:hAnsi="Times New Roman"/>
          <w:i/>
          <w:color w:val="000000" w:themeColor="text1"/>
          <w:sz w:val="20"/>
          <w:szCs w:val="20"/>
          <w:lang w:val="en-GB" w:eastAsia="zh-CN"/>
        </w:rPr>
        <w:t>enhancement</w:t>
      </w:r>
      <w:r w:rsidR="009F537B">
        <w:rPr>
          <w:rFonts w:ascii="Times New Roman" w:eastAsia="宋体" w:hAnsi="Times New Roman"/>
          <w:i/>
          <w:color w:val="000000" w:themeColor="text1"/>
          <w:sz w:val="20"/>
          <w:szCs w:val="20"/>
          <w:lang w:val="en-GB" w:eastAsia="zh-CN"/>
        </w:rPr>
        <w:t>s</w:t>
      </w:r>
      <w:r w:rsidR="002024DB">
        <w:rPr>
          <w:rFonts w:ascii="Times New Roman" w:eastAsia="宋体" w:hAnsi="Times New Roman"/>
          <w:i/>
          <w:color w:val="000000" w:themeColor="text1"/>
          <w:sz w:val="20"/>
          <w:szCs w:val="20"/>
          <w:lang w:val="en-GB" w:eastAsia="zh-CN"/>
        </w:rPr>
        <w:t xml:space="preserve"> can be considered for TA maintenance</w:t>
      </w:r>
    </w:p>
    <w:p w14:paraId="50377055" w14:textId="1F3F6437" w:rsidR="005C0AA7" w:rsidRDefault="009F537B" w:rsidP="00A30699">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Pr>
          <w:rFonts w:ascii="Times New Roman" w:eastAsia="宋体" w:hAnsi="Times New Roman"/>
          <w:i/>
          <w:color w:val="000000" w:themeColor="text1"/>
          <w:sz w:val="20"/>
          <w:szCs w:val="20"/>
          <w:lang w:val="en-GB" w:eastAsia="zh-CN"/>
        </w:rPr>
        <w:t>P</w:t>
      </w:r>
      <w:r w:rsidR="000B7508">
        <w:rPr>
          <w:rFonts w:ascii="Times New Roman" w:eastAsia="宋体" w:hAnsi="Times New Roman"/>
          <w:i/>
          <w:color w:val="000000" w:themeColor="text1"/>
          <w:sz w:val="20"/>
          <w:szCs w:val="20"/>
          <w:lang w:val="en-GB" w:eastAsia="zh-CN"/>
        </w:rPr>
        <w:t>arameters</w:t>
      </w:r>
      <w:r>
        <w:rPr>
          <w:rFonts w:ascii="Times New Roman" w:eastAsia="宋体" w:hAnsi="Times New Roman"/>
          <w:i/>
          <w:color w:val="000000" w:themeColor="text1"/>
          <w:sz w:val="20"/>
          <w:szCs w:val="20"/>
          <w:lang w:val="en-GB" w:eastAsia="zh-CN"/>
        </w:rPr>
        <w:t xml:space="preserve"> indicated </w:t>
      </w:r>
      <w:r w:rsidR="00AC3526">
        <w:rPr>
          <w:rFonts w:ascii="Times New Roman" w:eastAsia="宋体" w:hAnsi="Times New Roman"/>
          <w:i/>
          <w:color w:val="000000" w:themeColor="text1"/>
          <w:sz w:val="20"/>
          <w:szCs w:val="20"/>
          <w:lang w:val="en-GB" w:eastAsia="zh-CN"/>
        </w:rPr>
        <w:t xml:space="preserve">by gNB </w:t>
      </w:r>
      <w:r>
        <w:rPr>
          <w:rFonts w:ascii="Times New Roman" w:eastAsia="宋体" w:hAnsi="Times New Roman"/>
          <w:i/>
          <w:color w:val="000000" w:themeColor="text1"/>
          <w:sz w:val="20"/>
          <w:szCs w:val="20"/>
          <w:lang w:val="en-GB" w:eastAsia="zh-CN"/>
        </w:rPr>
        <w:t>to enable the autonomous TA adjustment</w:t>
      </w:r>
    </w:p>
    <w:p w14:paraId="1BE414FA" w14:textId="6CA36594" w:rsidR="00100010" w:rsidRPr="00AF7629" w:rsidRDefault="000B7508" w:rsidP="00B4264E">
      <w:pPr>
        <w:pStyle w:val="ListParagraph"/>
        <w:numPr>
          <w:ilvl w:val="4"/>
          <w:numId w:val="15"/>
        </w:numPr>
        <w:snapToGrid w:val="0"/>
        <w:spacing w:beforeLines="50" w:before="120" w:afterLines="50" w:after="120"/>
        <w:ind w:leftChars="1240" w:left="2900"/>
        <w:jc w:val="both"/>
        <w:rPr>
          <w:rFonts w:ascii="Times New Roman" w:eastAsia="宋体" w:hAnsi="Times New Roman"/>
          <w:i/>
          <w:color w:val="000000" w:themeColor="text1"/>
          <w:sz w:val="20"/>
          <w:szCs w:val="20"/>
          <w:lang w:val="en-GB" w:eastAsia="zh-CN"/>
        </w:rPr>
      </w:pPr>
      <w:r w:rsidRPr="00AF7629">
        <w:rPr>
          <w:rFonts w:ascii="Times New Roman" w:eastAsia="宋体" w:hAnsi="Times New Roman"/>
          <w:i/>
          <w:color w:val="000000" w:themeColor="text1"/>
          <w:sz w:val="20"/>
          <w:szCs w:val="20"/>
          <w:lang w:val="en-GB" w:eastAsia="zh-CN"/>
        </w:rPr>
        <w:t>Cell/group-specific signalling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17A4F" w14:paraId="5AE5E3AF"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08447A3" w14:textId="77777777" w:rsidR="00A17A4F" w:rsidRDefault="00A17A4F" w:rsidP="0091342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DBD1BF1" w14:textId="77777777" w:rsidR="00A17A4F" w:rsidRDefault="00A17A4F" w:rsidP="0091342A">
            <w:pPr>
              <w:jc w:val="center"/>
              <w:rPr>
                <w:b/>
                <w:sz w:val="28"/>
                <w:lang w:eastAsia="zh-CN"/>
              </w:rPr>
            </w:pPr>
            <w:r w:rsidRPr="008D3FED">
              <w:rPr>
                <w:b/>
                <w:sz w:val="22"/>
                <w:lang w:eastAsia="zh-CN"/>
              </w:rPr>
              <w:t>Comments and Views</w:t>
            </w:r>
          </w:p>
        </w:tc>
      </w:tr>
      <w:tr w:rsidR="00A17A4F" w14:paraId="3A2F8E9E"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5CA995" w14:textId="03185310" w:rsidR="00A17A4F" w:rsidRDefault="00A17A4F" w:rsidP="0091342A">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3DE2A061" w14:textId="056EB4BC" w:rsidR="005E4377" w:rsidRDefault="005E4377" w:rsidP="000A50D3">
            <w:pPr>
              <w:snapToGrid w:val="0"/>
              <w:rPr>
                <w:lang w:eastAsia="zh-CN"/>
              </w:rPr>
            </w:pPr>
          </w:p>
        </w:tc>
      </w:tr>
      <w:tr w:rsidR="00A17A4F" w14:paraId="0CE6AA38"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7F1405" w14:textId="51B0554C" w:rsidR="00A17A4F" w:rsidRDefault="00A17A4F" w:rsidP="0091342A">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F2FEEBE" w14:textId="77777777" w:rsidR="00A17A4F" w:rsidRDefault="00A17A4F" w:rsidP="0091342A">
            <w:pPr>
              <w:snapToGrid w:val="0"/>
              <w:ind w:left="360"/>
            </w:pPr>
          </w:p>
        </w:tc>
      </w:tr>
    </w:tbl>
    <w:p w14:paraId="7955F6DD"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PRACH</w:t>
      </w:r>
    </w:p>
    <w:p w14:paraId="71EC7272" w14:textId="77777777" w:rsidR="00EC2AB3" w:rsidRPr="0070170C"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PRACH format</w:t>
      </w:r>
    </w:p>
    <w:p w14:paraId="198C02AD" w14:textId="565E4B76" w:rsidR="00A4489C" w:rsidRPr="000D74AF" w:rsidRDefault="00131271" w:rsidP="00F00E13">
      <w:pPr>
        <w:snapToGrid w:val="0"/>
        <w:spacing w:beforeLines="50" w:before="120" w:afterLines="50" w:after="120"/>
        <w:ind w:left="289"/>
        <w:jc w:val="both"/>
      </w:pPr>
      <w:r>
        <w:rPr>
          <w:rFonts w:eastAsiaTheme="minorEastAsia"/>
          <w:lang w:val="en-US" w:eastAsia="zh-CN"/>
        </w:rPr>
        <w:t>T</w:t>
      </w:r>
      <w:r w:rsidR="0070170C">
        <w:rPr>
          <w:rFonts w:eastAsiaTheme="minorEastAsia"/>
          <w:lang w:val="en-US" w:eastAsia="zh-CN"/>
        </w:rPr>
        <w:t>he</w:t>
      </w:r>
      <w:r w:rsidR="004E71F9">
        <w:rPr>
          <w:rFonts w:eastAsiaTheme="minorEastAsia"/>
          <w:lang w:val="en-US" w:eastAsia="zh-CN"/>
        </w:rPr>
        <w:t xml:space="preserve"> performance evaluation of the existing PRACH format</w:t>
      </w:r>
      <w:r w:rsidR="0070170C">
        <w:rPr>
          <w:rFonts w:eastAsiaTheme="minorEastAsia"/>
          <w:lang w:val="en-US" w:eastAsia="zh-CN"/>
        </w:rPr>
        <w:t xml:space="preserve"> </w:t>
      </w:r>
      <w:r w:rsidR="004E71F9">
        <w:rPr>
          <w:rFonts w:eastAsiaTheme="minorEastAsia"/>
          <w:lang w:val="en-US" w:eastAsia="zh-CN"/>
        </w:rPr>
        <w:t xml:space="preserve">have been conducted </w:t>
      </w:r>
      <w:r w:rsidR="00C31CC4">
        <w:rPr>
          <w:rFonts w:eastAsiaTheme="minorEastAsia"/>
          <w:lang w:val="en-US" w:eastAsia="zh-CN"/>
        </w:rPr>
        <w:t xml:space="preserve">by </w:t>
      </w:r>
      <w:r w:rsidR="00A4489C">
        <w:rPr>
          <w:rFonts w:eastAsiaTheme="minorEastAsia"/>
          <w:lang w:val="en-US" w:eastAsia="zh-CN"/>
        </w:rPr>
        <w:t>[MTK</w:t>
      </w:r>
      <w:r w:rsidR="00F00E13">
        <w:rPr>
          <w:rFonts w:eastAsiaTheme="minorEastAsia"/>
          <w:lang w:val="en-US" w:eastAsia="zh-CN"/>
        </w:rPr>
        <w:t>, HW, CAICT</w:t>
      </w:r>
      <w:r w:rsidR="00A4489C">
        <w:rPr>
          <w:rFonts w:eastAsiaTheme="minorEastAsia"/>
          <w:lang w:val="en-US" w:eastAsia="zh-CN"/>
        </w:rPr>
        <w:t>, Nokia, Samsung</w:t>
      </w:r>
      <w:r w:rsidR="00F00E13">
        <w:rPr>
          <w:rFonts w:eastAsiaTheme="minorEastAsia"/>
          <w:lang w:val="en-US" w:eastAsia="zh-CN"/>
        </w:rPr>
        <w:t>, Ericsson, QC, ZTE</w:t>
      </w:r>
      <w:r w:rsidR="00A4489C">
        <w:rPr>
          <w:rFonts w:eastAsiaTheme="minorEastAsia"/>
          <w:lang w:val="en-US" w:eastAsia="zh-CN"/>
        </w:rPr>
        <w:t>]</w:t>
      </w:r>
      <w:r w:rsidR="00F00E13">
        <w:rPr>
          <w:rFonts w:eastAsiaTheme="minorEastAsia"/>
          <w:lang w:val="en-US" w:eastAsia="zh-CN"/>
        </w:rPr>
        <w:t>. According to these results, with consideration on the Doppler and differential delay, the Rel-15 PRACH format can be not be used to supported the NTN cases, except for the PRACH format in S band [Panasonic]</w:t>
      </w:r>
      <w:r w:rsidR="00F00E13">
        <w:t xml:space="preserve">. With consideration of compensation of Doppler, the applicable of current preamble may work in certain cases with specific elevation angle of serving satellite/beams [HW, CAICT].  [CATT, CAICT] highlights that </w:t>
      </w:r>
      <w:r w:rsidR="00F00E13" w:rsidRPr="000D74AF">
        <w:t xml:space="preserve">robust </w:t>
      </w:r>
      <w:r w:rsidR="00F00E13">
        <w:t>performance can be achieved by existing PRACH format in</w:t>
      </w:r>
      <w:r w:rsidR="00F00E13" w:rsidRPr="000D74AF">
        <w:t xml:space="preserve"> NTN</w:t>
      </w:r>
      <w:r w:rsidR="00F00E13">
        <w:t xml:space="preserve"> with consideration of open loop method for timing and frequency compensation.</w:t>
      </w:r>
    </w:p>
    <w:p w14:paraId="1A557BAC" w14:textId="32B22B44" w:rsidR="000B74DA" w:rsidRDefault="00DC2089" w:rsidP="00B81419">
      <w:pPr>
        <w:snapToGrid w:val="0"/>
        <w:spacing w:beforeLines="50" w:before="120" w:afterLines="50" w:after="120"/>
        <w:ind w:left="289"/>
        <w:jc w:val="both"/>
        <w:rPr>
          <w:rFonts w:eastAsiaTheme="minorEastAsia"/>
          <w:lang w:val="en-US" w:eastAsia="zh-CN"/>
        </w:rPr>
      </w:pPr>
      <w:r>
        <w:rPr>
          <w:rFonts w:eastAsiaTheme="minorEastAsia"/>
          <w:lang w:eastAsia="zh-CN"/>
        </w:rPr>
        <w:t>For enhancing the PRACH performance,</w:t>
      </w:r>
      <w:r w:rsidR="00960BCE">
        <w:rPr>
          <w:rFonts w:eastAsiaTheme="minorEastAsia"/>
          <w:lang w:eastAsia="zh-CN"/>
        </w:rPr>
        <w:t xml:space="preserve"> new PRACH can be developed for NTN [</w:t>
      </w:r>
      <w:r w:rsidR="00960BCE" w:rsidRPr="000D74AF">
        <w:t>Mitsubishi</w:t>
      </w:r>
      <w:r w:rsidR="00960BCE">
        <w:rPr>
          <w:rFonts w:eastAsiaTheme="minorEastAsia"/>
          <w:lang w:eastAsia="zh-CN"/>
        </w:rPr>
        <w:t>], with following method</w:t>
      </w:r>
      <w:r>
        <w:rPr>
          <w:rFonts w:eastAsiaTheme="minorEastAsia"/>
          <w:lang w:eastAsia="zh-CN"/>
        </w:rPr>
        <w:t>, e.g., extension of CP [HW</w:t>
      </w:r>
      <w:r w:rsidR="00886F13">
        <w:rPr>
          <w:rFonts w:eastAsiaTheme="minorEastAsia"/>
          <w:lang w:eastAsia="zh-CN"/>
        </w:rPr>
        <w:t>, CAICT</w:t>
      </w:r>
      <w:r>
        <w:rPr>
          <w:rFonts w:eastAsiaTheme="minorEastAsia"/>
          <w:lang w:eastAsia="zh-CN"/>
        </w:rPr>
        <w:t xml:space="preserve">, </w:t>
      </w:r>
      <w:r w:rsidR="00CC564C">
        <w:rPr>
          <w:rFonts w:eastAsiaTheme="minorEastAsia"/>
          <w:lang w:eastAsia="zh-CN"/>
        </w:rPr>
        <w:t>Nokia</w:t>
      </w:r>
      <w:r w:rsidR="00306884">
        <w:rPr>
          <w:rFonts w:eastAsiaTheme="minorEastAsia"/>
          <w:lang w:eastAsia="zh-CN"/>
        </w:rPr>
        <w:t>, CATT</w:t>
      </w:r>
      <w:r w:rsidR="00FB0C79">
        <w:rPr>
          <w:rFonts w:eastAsiaTheme="minorEastAsia"/>
          <w:lang w:eastAsia="zh-CN"/>
        </w:rPr>
        <w:t>, Intel</w:t>
      </w:r>
      <w:r>
        <w:rPr>
          <w:rFonts w:eastAsiaTheme="minorEastAsia"/>
          <w:lang w:eastAsia="zh-CN"/>
        </w:rPr>
        <w:t>], large SCS</w:t>
      </w:r>
      <w:r w:rsidR="00187EE2">
        <w:rPr>
          <w:rFonts w:eastAsiaTheme="minorEastAsia"/>
          <w:lang w:eastAsia="zh-CN"/>
        </w:rPr>
        <w:t xml:space="preserve"> [HW,</w:t>
      </w:r>
      <w:r w:rsidR="00603773">
        <w:rPr>
          <w:rFonts w:eastAsiaTheme="minorEastAsia"/>
          <w:lang w:eastAsia="zh-CN"/>
        </w:rPr>
        <w:t xml:space="preserve"> </w:t>
      </w:r>
      <w:r w:rsidR="00187EE2">
        <w:rPr>
          <w:rFonts w:eastAsiaTheme="minorEastAsia"/>
          <w:lang w:eastAsia="zh-CN"/>
        </w:rPr>
        <w:t>CAICT</w:t>
      </w:r>
      <w:r w:rsidR="00CC564C">
        <w:rPr>
          <w:rFonts w:eastAsiaTheme="minorEastAsia"/>
          <w:lang w:eastAsia="zh-CN"/>
        </w:rPr>
        <w:t>,</w:t>
      </w:r>
      <w:r w:rsidR="00603773">
        <w:rPr>
          <w:rFonts w:eastAsiaTheme="minorEastAsia"/>
          <w:lang w:eastAsia="zh-CN"/>
        </w:rPr>
        <w:t xml:space="preserve"> </w:t>
      </w:r>
      <w:r w:rsidR="00CC564C">
        <w:rPr>
          <w:rFonts w:eastAsiaTheme="minorEastAsia"/>
          <w:lang w:eastAsia="zh-CN"/>
        </w:rPr>
        <w:t>Nokia</w:t>
      </w:r>
      <w:r w:rsidR="00C4793F">
        <w:rPr>
          <w:rFonts w:eastAsiaTheme="minorEastAsia"/>
          <w:lang w:eastAsia="zh-CN"/>
        </w:rPr>
        <w:t>, Samsung</w:t>
      </w:r>
      <w:r w:rsidR="00EB3187">
        <w:rPr>
          <w:rFonts w:eastAsiaTheme="minorEastAsia"/>
          <w:lang w:eastAsia="zh-CN"/>
        </w:rPr>
        <w:t>, Sony</w:t>
      </w:r>
      <w:r w:rsidR="007D2EFD">
        <w:rPr>
          <w:rFonts w:eastAsiaTheme="minorEastAsia"/>
          <w:lang w:eastAsia="zh-CN"/>
        </w:rPr>
        <w:t>,</w:t>
      </w:r>
      <w:r w:rsidR="007D2EFD" w:rsidRPr="007D2EFD">
        <w:t xml:space="preserve"> </w:t>
      </w:r>
      <w:r w:rsidR="007D2EFD" w:rsidRPr="000D74AF">
        <w:t>Panasonic</w:t>
      </w:r>
      <w:r w:rsidR="00187EE2">
        <w:rPr>
          <w:rFonts w:eastAsiaTheme="minorEastAsia"/>
          <w:lang w:eastAsia="zh-CN"/>
        </w:rPr>
        <w:t>]</w:t>
      </w:r>
      <w:r>
        <w:rPr>
          <w:rFonts w:eastAsiaTheme="minorEastAsia"/>
          <w:lang w:eastAsia="zh-CN"/>
        </w:rPr>
        <w:t xml:space="preserve">, enlarged </w:t>
      </w:r>
      <w:r w:rsidR="000F106A">
        <w:rPr>
          <w:rFonts w:eastAsiaTheme="minorEastAsia"/>
          <w:lang w:eastAsia="zh-CN"/>
        </w:rPr>
        <w:t>repetition number</w:t>
      </w:r>
      <w:r>
        <w:rPr>
          <w:rFonts w:eastAsiaTheme="minorEastAsia"/>
          <w:lang w:eastAsia="zh-CN"/>
        </w:rPr>
        <w:t xml:space="preserve"> </w:t>
      </w:r>
      <w:r w:rsidR="00C61C69">
        <w:rPr>
          <w:rFonts w:eastAsiaTheme="minorEastAsia"/>
          <w:lang w:eastAsia="zh-CN"/>
        </w:rPr>
        <w:t>[</w:t>
      </w:r>
      <w:r w:rsidR="00886F13" w:rsidRPr="000D74AF">
        <w:t>Pengcheng laboratory</w:t>
      </w:r>
      <w:r w:rsidR="00886F13">
        <w:rPr>
          <w:rFonts w:eastAsiaTheme="minorEastAsia"/>
          <w:lang w:eastAsia="zh-CN"/>
        </w:rPr>
        <w:t xml:space="preserve">, </w:t>
      </w:r>
      <w:r w:rsidR="00CC564C">
        <w:rPr>
          <w:rFonts w:eastAsiaTheme="minorEastAsia"/>
          <w:lang w:eastAsia="zh-CN"/>
        </w:rPr>
        <w:t>Nokia,</w:t>
      </w:r>
      <w:r w:rsidR="000F106A">
        <w:rPr>
          <w:rFonts w:eastAsiaTheme="minorEastAsia"/>
          <w:lang w:eastAsia="zh-CN"/>
        </w:rPr>
        <w:t xml:space="preserve"> </w:t>
      </w:r>
      <w:r w:rsidR="00FB0C79">
        <w:rPr>
          <w:rFonts w:eastAsiaTheme="minorEastAsia"/>
          <w:lang w:eastAsia="zh-CN"/>
        </w:rPr>
        <w:t xml:space="preserve">CATT, </w:t>
      </w:r>
      <w:r w:rsidR="00C61C69">
        <w:rPr>
          <w:rFonts w:eastAsiaTheme="minorEastAsia"/>
          <w:lang w:eastAsia="zh-CN"/>
        </w:rPr>
        <w:t xml:space="preserve">ZTE] </w:t>
      </w:r>
      <w:r>
        <w:rPr>
          <w:rFonts w:eastAsiaTheme="minorEastAsia"/>
          <w:lang w:eastAsia="zh-CN"/>
        </w:rPr>
        <w:t>and new restriction set</w:t>
      </w:r>
      <w:r w:rsidR="00C61C69">
        <w:rPr>
          <w:rFonts w:eastAsiaTheme="minorEastAsia"/>
          <w:lang w:eastAsia="zh-CN"/>
        </w:rPr>
        <w:t xml:space="preserve"> [MTK]</w:t>
      </w:r>
      <w:r>
        <w:rPr>
          <w:rFonts w:eastAsiaTheme="minorEastAsia"/>
          <w:lang w:eastAsia="zh-CN"/>
        </w:rPr>
        <w:t xml:space="preserve">. </w:t>
      </w:r>
      <w:r w:rsidR="002A5915">
        <w:rPr>
          <w:rFonts w:eastAsiaTheme="minorEastAsia"/>
          <w:lang w:eastAsia="zh-CN"/>
        </w:rPr>
        <w:t>N</w:t>
      </w:r>
      <w:r>
        <w:rPr>
          <w:rFonts w:eastAsiaTheme="minorEastAsia"/>
          <w:lang w:eastAsia="zh-CN"/>
        </w:rPr>
        <w:t>ew sequence design, e.g., multiple-roots [QC], disabling of Ncs [ZTE]</w:t>
      </w:r>
      <w:r w:rsidR="0040024B">
        <w:rPr>
          <w:rFonts w:eastAsiaTheme="minorEastAsia"/>
          <w:lang w:eastAsia="zh-CN"/>
        </w:rPr>
        <w:t xml:space="preserve"> is also provided</w:t>
      </w:r>
      <w:r>
        <w:rPr>
          <w:rFonts w:eastAsiaTheme="minorEastAsia"/>
          <w:lang w:eastAsia="zh-CN"/>
        </w:rPr>
        <w:t>.</w:t>
      </w:r>
      <w:r w:rsidR="001E5334">
        <w:rPr>
          <w:rFonts w:eastAsiaTheme="minorEastAsia"/>
          <w:lang w:eastAsia="zh-CN"/>
        </w:rPr>
        <w:t xml:space="preserve"> </w:t>
      </w:r>
      <w:r w:rsidR="000B74DA">
        <w:rPr>
          <w:rFonts w:eastAsiaTheme="minorEastAsia"/>
          <w:lang w:val="en-US" w:eastAsia="zh-CN"/>
        </w:rPr>
        <w:t>Besides, improvement on the legacy PRACH detector is proposed to be considered in NTN [Ericsson].</w:t>
      </w:r>
    </w:p>
    <w:p w14:paraId="1DA2C441" w14:textId="02CDA380" w:rsidR="00DA0896" w:rsidRPr="00EC64C9" w:rsidRDefault="00DA0896" w:rsidP="00DA0896">
      <w:pPr>
        <w:snapToGrid w:val="0"/>
        <w:spacing w:beforeLines="50" w:before="120" w:afterLines="50" w:after="120"/>
        <w:ind w:left="289"/>
        <w:rPr>
          <w:rFonts w:eastAsiaTheme="minorEastAsia"/>
          <w:lang w:val="en-US" w:eastAsia="zh-CN"/>
        </w:rPr>
      </w:pPr>
      <w:r w:rsidRPr="00EC64C9">
        <w:rPr>
          <w:rFonts w:eastAsiaTheme="minorEastAsia"/>
          <w:lang w:val="en-US" w:eastAsia="zh-CN"/>
        </w:rPr>
        <w:t xml:space="preserve">Based on the above analysis, following proposal </w:t>
      </w:r>
      <w:r w:rsidR="00C15064">
        <w:rPr>
          <w:rFonts w:eastAsiaTheme="minorEastAsia"/>
          <w:lang w:val="en-US" w:eastAsia="zh-CN"/>
        </w:rPr>
        <w:t>is provided</w:t>
      </w:r>
      <w:r w:rsidRPr="00EC64C9">
        <w:rPr>
          <w:rFonts w:eastAsiaTheme="minorEastAsia"/>
          <w:lang w:val="en-US" w:eastAsia="zh-CN"/>
        </w:rPr>
        <w:t xml:space="preserve"> according to majority view:</w:t>
      </w:r>
    </w:p>
    <w:p w14:paraId="31D3C636" w14:textId="7217A991" w:rsidR="00D656A1" w:rsidRDefault="005B594A" w:rsidP="00205442">
      <w:pPr>
        <w:snapToGrid w:val="0"/>
        <w:spacing w:beforeLines="50" w:before="120" w:afterLines="50" w:after="120"/>
        <w:ind w:left="289"/>
        <w:rPr>
          <w:rFonts w:eastAsiaTheme="minorEastAsia"/>
          <w:i/>
          <w:lang w:val="en-US" w:eastAsia="zh-CN"/>
        </w:rPr>
      </w:pPr>
      <w:r>
        <w:rPr>
          <w:rFonts w:eastAsiaTheme="minorEastAsia"/>
          <w:b/>
          <w:i/>
          <w:lang w:val="en-US" w:eastAsia="zh-CN"/>
        </w:rPr>
        <w:t>Observation</w:t>
      </w:r>
      <w:r w:rsidR="00D656A1">
        <w:rPr>
          <w:rFonts w:eastAsiaTheme="minorEastAsia"/>
          <w:b/>
          <w:i/>
          <w:lang w:val="en-US" w:eastAsia="zh-CN"/>
        </w:rPr>
        <w:t xml:space="preserve"> </w:t>
      </w:r>
      <w:r>
        <w:rPr>
          <w:rFonts w:eastAsiaTheme="minorEastAsia"/>
          <w:b/>
          <w:i/>
          <w:lang w:val="en-US" w:eastAsia="zh-CN"/>
        </w:rPr>
        <w:t>2</w:t>
      </w:r>
      <w:r w:rsidR="00D656A1">
        <w:rPr>
          <w:rFonts w:eastAsiaTheme="minorEastAsia"/>
          <w:b/>
          <w:i/>
          <w:lang w:val="en-US" w:eastAsia="zh-CN"/>
        </w:rPr>
        <w:t xml:space="preserve">: </w:t>
      </w:r>
      <w:r w:rsidR="005635B8" w:rsidRPr="00335615">
        <w:rPr>
          <w:rFonts w:eastAsiaTheme="minorEastAsia"/>
          <w:i/>
          <w:lang w:val="en-US" w:eastAsia="zh-CN"/>
        </w:rPr>
        <w:t>Existing Rel-15 PRACH format</w:t>
      </w:r>
      <w:r w:rsidR="00AD0EB8">
        <w:rPr>
          <w:rFonts w:eastAsiaTheme="minorEastAsia"/>
          <w:i/>
          <w:lang w:val="en-US" w:eastAsia="zh-CN"/>
        </w:rPr>
        <w:t>s</w:t>
      </w:r>
      <w:r w:rsidR="005635B8" w:rsidRPr="00335615">
        <w:rPr>
          <w:rFonts w:eastAsiaTheme="minorEastAsia"/>
          <w:i/>
          <w:lang w:val="en-US" w:eastAsia="zh-CN"/>
        </w:rPr>
        <w:t xml:space="preserve"> are not sufficient </w:t>
      </w:r>
      <w:r w:rsidR="00335615" w:rsidRPr="00335615">
        <w:rPr>
          <w:rFonts w:eastAsiaTheme="minorEastAsia"/>
          <w:i/>
          <w:lang w:val="en-US" w:eastAsia="zh-CN"/>
        </w:rPr>
        <w:t>to support all NTN cases</w:t>
      </w:r>
      <w:r w:rsidR="00A5612A">
        <w:rPr>
          <w:rFonts w:eastAsiaTheme="minorEastAsia"/>
          <w:i/>
          <w:lang w:val="en-US" w:eastAsia="zh-CN"/>
        </w:rPr>
        <w:t>, at least for UL transmission with closed-loop procedure for timing/frequency adjustment:</w:t>
      </w:r>
    </w:p>
    <w:p w14:paraId="524E6E1F" w14:textId="3C637D70" w:rsidR="00A15DBB" w:rsidRPr="00A15DBB" w:rsidRDefault="00A15DBB" w:rsidP="000852B1">
      <w:pPr>
        <w:snapToGrid w:val="0"/>
        <w:spacing w:beforeLines="50" w:before="120" w:afterLines="50" w:after="120"/>
        <w:jc w:val="both"/>
        <w:rPr>
          <w:i/>
          <w:color w:val="000000" w:themeColor="text1"/>
          <w:highlight w:val="yellow"/>
          <w:lang w:eastAsia="zh-CN"/>
        </w:rPr>
      </w:pPr>
      <w:r w:rsidRPr="00A15DBB">
        <w:rPr>
          <w:i/>
          <w:color w:val="000000" w:themeColor="text1"/>
          <w:highlight w:val="yellow"/>
          <w:lang w:eastAsia="zh-CN"/>
        </w:rPr>
        <w:t>Offline proposal:</w:t>
      </w:r>
    </w:p>
    <w:p w14:paraId="1F5F35C1" w14:textId="24C05B02" w:rsidR="003A6A09" w:rsidRPr="000852B1" w:rsidRDefault="004A6704" w:rsidP="000852B1">
      <w:pPr>
        <w:snapToGrid w:val="0"/>
        <w:spacing w:beforeLines="50" w:before="120" w:afterLines="50" w:after="120"/>
        <w:jc w:val="both"/>
        <w:rPr>
          <w:i/>
          <w:color w:val="000000" w:themeColor="text1"/>
          <w:lang w:eastAsia="zh-CN"/>
        </w:rPr>
      </w:pPr>
      <w:r w:rsidRPr="00A15DBB">
        <w:rPr>
          <w:i/>
          <w:color w:val="000000" w:themeColor="text1"/>
          <w:highlight w:val="yellow"/>
          <w:lang w:eastAsia="zh-CN"/>
        </w:rPr>
        <w:t xml:space="preserve">Proposal </w:t>
      </w:r>
      <w:r w:rsidR="006015DC" w:rsidRPr="00A15DBB">
        <w:rPr>
          <w:i/>
          <w:color w:val="000000" w:themeColor="text1"/>
          <w:highlight w:val="yellow"/>
          <w:lang w:eastAsia="zh-CN"/>
        </w:rPr>
        <w:t>7</w:t>
      </w:r>
      <w:r w:rsidRPr="00A15DBB">
        <w:rPr>
          <w:i/>
          <w:color w:val="000000" w:themeColor="text1"/>
          <w:highlight w:val="yellow"/>
          <w:lang w:eastAsia="zh-CN"/>
        </w:rPr>
        <w:t xml:space="preserve">: </w:t>
      </w:r>
      <w:r w:rsidR="00576C0D" w:rsidRPr="00A15DBB">
        <w:rPr>
          <w:i/>
          <w:color w:val="000000" w:themeColor="text1"/>
          <w:highlight w:val="yellow"/>
          <w:lang w:eastAsia="zh-CN"/>
        </w:rPr>
        <w:t xml:space="preserve">Companies are encouraged to provide the evaluation results </w:t>
      </w:r>
      <w:r w:rsidR="001B5947" w:rsidRPr="00A15DBB">
        <w:rPr>
          <w:i/>
          <w:color w:val="000000" w:themeColor="text1"/>
          <w:highlight w:val="yellow"/>
          <w:lang w:eastAsia="zh-CN"/>
        </w:rPr>
        <w:t xml:space="preserve">to justify the proposed </w:t>
      </w:r>
      <w:r w:rsidR="009175B2" w:rsidRPr="00A15DBB">
        <w:rPr>
          <w:i/>
          <w:color w:val="000000" w:themeColor="text1"/>
          <w:highlight w:val="yellow"/>
          <w:lang w:eastAsia="zh-CN"/>
        </w:rPr>
        <w:t>P</w:t>
      </w:r>
      <w:r w:rsidR="001B5947" w:rsidRPr="00A15DBB">
        <w:rPr>
          <w:i/>
          <w:color w:val="000000" w:themeColor="text1"/>
          <w:highlight w:val="yellow"/>
          <w:lang w:eastAsia="zh-CN"/>
        </w:rPr>
        <w:t xml:space="preserve">RACH </w:t>
      </w:r>
      <w:r w:rsidR="009E079E" w:rsidRPr="00A15DBB">
        <w:rPr>
          <w:i/>
          <w:color w:val="000000" w:themeColor="text1"/>
          <w:highlight w:val="yellow"/>
          <w:lang w:eastAsia="zh-CN"/>
        </w:rPr>
        <w:t>design</w:t>
      </w:r>
      <w:r w:rsidR="001B5947" w:rsidRPr="00A15DBB">
        <w:rPr>
          <w:i/>
          <w:color w:val="000000" w:themeColor="text1"/>
          <w:highlight w:val="yellow"/>
          <w:lang w:eastAsia="zh-CN"/>
        </w:rPr>
        <w:t xml:space="preserve"> </w:t>
      </w:r>
      <w:r w:rsidR="00111DC6" w:rsidRPr="00A15DBB">
        <w:rPr>
          <w:i/>
          <w:color w:val="000000" w:themeColor="text1"/>
          <w:highlight w:val="yellow"/>
          <w:lang w:eastAsia="zh-CN"/>
        </w:rPr>
        <w:t>in following cases</w:t>
      </w:r>
      <w:r w:rsidR="00B345D0" w:rsidRPr="00A15DBB">
        <w:rPr>
          <w:i/>
          <w:color w:val="000000" w:themeColor="text1"/>
          <w:highlight w:val="yellow"/>
          <w:lang w:eastAsia="zh-CN"/>
        </w:rPr>
        <w:t xml:space="preserve"> based agreed assumption</w:t>
      </w:r>
      <w:r w:rsidR="00CD4400" w:rsidRPr="00A15DBB">
        <w:rPr>
          <w:i/>
          <w:color w:val="000000" w:themeColor="text1"/>
          <w:highlight w:val="yellow"/>
          <w:lang w:eastAsia="zh-CN"/>
        </w:rPr>
        <w:t xml:space="preserve"> in RAN1#97 for PRACH evaluation</w:t>
      </w:r>
      <w:r w:rsidR="00D36FD1" w:rsidRPr="00A15DBB">
        <w:rPr>
          <w:i/>
          <w:color w:val="000000" w:themeColor="text1"/>
          <w:highlight w:val="yellow"/>
          <w:lang w:eastAsia="zh-CN"/>
        </w:rPr>
        <w:t>:</w:t>
      </w:r>
      <w:r w:rsidR="00576C0D">
        <w:rPr>
          <w:i/>
          <w:color w:val="000000" w:themeColor="text1"/>
          <w:lang w:eastAsia="zh-CN"/>
        </w:rPr>
        <w:t xml:space="preserve"> </w:t>
      </w:r>
    </w:p>
    <w:tbl>
      <w:tblPr>
        <w:tblStyle w:val="TableGrid"/>
        <w:tblW w:w="0" w:type="auto"/>
        <w:jc w:val="center"/>
        <w:tblLook w:val="04A0" w:firstRow="1" w:lastRow="0" w:firstColumn="1" w:lastColumn="0" w:noHBand="0" w:noVBand="1"/>
      </w:tblPr>
      <w:tblGrid>
        <w:gridCol w:w="707"/>
        <w:gridCol w:w="2057"/>
        <w:gridCol w:w="2355"/>
        <w:gridCol w:w="2667"/>
        <w:gridCol w:w="2374"/>
      </w:tblGrid>
      <w:tr w:rsidR="0003118F" w:rsidRPr="00D1156E" w14:paraId="60AB5BFC" w14:textId="72DBDC33" w:rsidTr="0003118F">
        <w:trPr>
          <w:jc w:val="center"/>
        </w:trPr>
        <w:tc>
          <w:tcPr>
            <w:tcW w:w="707" w:type="dxa"/>
            <w:vAlign w:val="center"/>
          </w:tcPr>
          <w:p w14:paraId="15C04658" w14:textId="77777777" w:rsidR="0003118F" w:rsidRPr="00D1156E" w:rsidRDefault="0003118F" w:rsidP="00D1156E">
            <w:pPr>
              <w:pStyle w:val="ListParagraph"/>
              <w:ind w:left="0"/>
              <w:jc w:val="center"/>
              <w:rPr>
                <w:rFonts w:ascii="Times New Roman" w:hAnsi="Times New Roman"/>
                <w:bCs/>
                <w:sz w:val="20"/>
                <w:szCs w:val="20"/>
                <w:lang w:eastAsia="ja-JP"/>
              </w:rPr>
            </w:pPr>
          </w:p>
        </w:tc>
        <w:tc>
          <w:tcPr>
            <w:tcW w:w="2057" w:type="dxa"/>
          </w:tcPr>
          <w:p w14:paraId="294CB8DA" w14:textId="56BB865F" w:rsidR="0003118F" w:rsidRPr="0003118F" w:rsidRDefault="0003118F" w:rsidP="001C7B91">
            <w:pPr>
              <w:pStyle w:val="ListParagraph"/>
              <w:ind w:left="0"/>
              <w:jc w:val="center"/>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E</w:t>
            </w:r>
            <w:r>
              <w:rPr>
                <w:rFonts w:ascii="Times New Roman" w:eastAsia="MS Mincho" w:hAnsi="Times New Roman"/>
                <w:bCs/>
                <w:sz w:val="20"/>
                <w:szCs w:val="20"/>
                <w:lang w:eastAsia="ja-JP"/>
              </w:rPr>
              <w:t>levation angle</w:t>
            </w:r>
          </w:p>
        </w:tc>
        <w:tc>
          <w:tcPr>
            <w:tcW w:w="2355" w:type="dxa"/>
            <w:vAlign w:val="center"/>
          </w:tcPr>
          <w:p w14:paraId="3964D183" w14:textId="77777777" w:rsidR="0003118F" w:rsidRDefault="0003118F" w:rsidP="001C7B91">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Differential delay</w:t>
            </w:r>
          </w:p>
          <w:p w14:paraId="016672AF" w14:textId="66A9DA42" w:rsidR="003D320C" w:rsidRPr="003D320C" w:rsidRDefault="003D320C" w:rsidP="001C7B91">
            <w:pPr>
              <w:pStyle w:val="ListParagraph"/>
              <w:ind w:left="0"/>
              <w:jc w:val="center"/>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w:t>
            </w:r>
            <w:r>
              <w:rPr>
                <w:rFonts w:ascii="Times New Roman" w:eastAsia="MS Mincho" w:hAnsi="Times New Roman"/>
                <w:bCs/>
                <w:sz w:val="20"/>
                <w:szCs w:val="20"/>
                <w:lang w:eastAsia="ja-JP"/>
              </w:rPr>
              <w:t>&lt;=[1.6]</w:t>
            </w:r>
            <w:r w:rsidR="00E02505">
              <w:rPr>
                <w:rFonts w:ascii="Times New Roman" w:eastAsia="MS Mincho" w:hAnsi="Times New Roman"/>
                <w:bCs/>
                <w:sz w:val="20"/>
                <w:szCs w:val="20"/>
                <w:lang w:eastAsia="ja-JP"/>
              </w:rPr>
              <w:t xml:space="preserve"> </w:t>
            </w:r>
            <w:r>
              <w:rPr>
                <w:rFonts w:ascii="Times New Roman" w:eastAsia="MS Mincho" w:hAnsi="Times New Roman"/>
                <w:bCs/>
                <w:sz w:val="20"/>
                <w:szCs w:val="20"/>
                <w:lang w:eastAsia="ja-JP"/>
              </w:rPr>
              <w:t>ms)</w:t>
            </w:r>
          </w:p>
        </w:tc>
        <w:tc>
          <w:tcPr>
            <w:tcW w:w="2667" w:type="dxa"/>
            <w:vAlign w:val="center"/>
          </w:tcPr>
          <w:p w14:paraId="79E1E2CB" w14:textId="359CCAF8" w:rsidR="002D69CD" w:rsidRDefault="0003118F" w:rsidP="002D69CD">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UL Frequency offset</w:t>
            </w:r>
            <w:r w:rsidR="002D69CD">
              <w:rPr>
                <w:rFonts w:ascii="Times New Roman" w:hAnsi="Times New Roman"/>
                <w:bCs/>
                <w:sz w:val="20"/>
                <w:szCs w:val="20"/>
                <w:lang w:eastAsia="ja-JP"/>
              </w:rPr>
              <w:t xml:space="preserve"> </w:t>
            </w:r>
            <w:r w:rsidR="00074976">
              <w:rPr>
                <w:rFonts w:ascii="Times New Roman" w:hAnsi="Times New Roman"/>
                <w:bCs/>
                <w:sz w:val="20"/>
                <w:szCs w:val="20"/>
                <w:lang w:eastAsia="ja-JP"/>
              </w:rPr>
              <w:t>(Both S- and Ka-band)</w:t>
            </w:r>
          </w:p>
          <w:p w14:paraId="524A5B8B" w14:textId="205BB956" w:rsidR="0003118F" w:rsidRPr="00D1156E" w:rsidRDefault="0003118F" w:rsidP="002D69CD">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(with compensation of common Doppler)</w:t>
            </w:r>
          </w:p>
        </w:tc>
        <w:tc>
          <w:tcPr>
            <w:tcW w:w="2374" w:type="dxa"/>
          </w:tcPr>
          <w:p w14:paraId="779B7B72" w14:textId="5FA9671D" w:rsidR="0003118F" w:rsidRPr="001A02EF" w:rsidRDefault="0003118F" w:rsidP="00270C2C">
            <w:pPr>
              <w:pStyle w:val="ListParagraph"/>
              <w:ind w:left="0"/>
              <w:jc w:val="center"/>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t>B</w:t>
            </w:r>
            <w:r>
              <w:rPr>
                <w:rFonts w:ascii="Times New Roman" w:eastAsiaTheme="minorEastAsia" w:hAnsi="Times New Roman"/>
                <w:bCs/>
                <w:sz w:val="20"/>
                <w:szCs w:val="20"/>
                <w:lang w:eastAsia="zh-CN"/>
              </w:rPr>
              <w:t>eam Set</w:t>
            </w:r>
            <w:r w:rsidR="00421824">
              <w:rPr>
                <w:rFonts w:ascii="Times New Roman" w:eastAsiaTheme="minorEastAsia" w:hAnsi="Times New Roman"/>
                <w:bCs/>
                <w:sz w:val="20"/>
                <w:szCs w:val="20"/>
                <w:lang w:eastAsia="zh-CN"/>
              </w:rPr>
              <w:t xml:space="preserve"> at satellite</w:t>
            </w:r>
          </w:p>
        </w:tc>
      </w:tr>
      <w:tr w:rsidR="0003118F" w:rsidRPr="00D1156E" w14:paraId="304BDF49" w14:textId="22DBCC69" w:rsidTr="0003118F">
        <w:trPr>
          <w:jc w:val="center"/>
        </w:trPr>
        <w:tc>
          <w:tcPr>
            <w:tcW w:w="707" w:type="dxa"/>
            <w:vAlign w:val="center"/>
          </w:tcPr>
          <w:p w14:paraId="28F4AF3C" w14:textId="69C67BAE" w:rsidR="0003118F" w:rsidRPr="00D1156E" w:rsidRDefault="0003118F"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Case 1</w:t>
            </w:r>
          </w:p>
        </w:tc>
        <w:tc>
          <w:tcPr>
            <w:tcW w:w="2057" w:type="dxa"/>
          </w:tcPr>
          <w:p w14:paraId="1347CC84" w14:textId="4968C506" w:rsidR="0003118F" w:rsidRPr="00D1156E" w:rsidRDefault="0003118F" w:rsidP="00D1156E">
            <w:pPr>
              <w:pStyle w:val="ListParagraph"/>
              <w:ind w:left="0"/>
              <w:jc w:val="center"/>
              <w:rPr>
                <w:rFonts w:ascii="Times New Roman" w:hAnsi="Times New Roman"/>
                <w:bCs/>
                <w:sz w:val="20"/>
                <w:szCs w:val="20"/>
                <w:lang w:eastAsia="ja-JP"/>
              </w:rPr>
            </w:pPr>
            <w:r w:rsidRPr="00DA5DD4">
              <w:rPr>
                <w:rFonts w:ascii="Times New Roman" w:hAnsi="Times New Roman"/>
                <w:bCs/>
                <w:sz w:val="20"/>
                <w:szCs w:val="20"/>
                <w:lang w:eastAsia="ja-JP"/>
              </w:rPr>
              <w:t>90 degree</w:t>
            </w:r>
            <w:r w:rsidR="000D2C6C">
              <w:rPr>
                <w:rFonts w:ascii="Times New Roman" w:hAnsi="Times New Roman"/>
                <w:bCs/>
                <w:sz w:val="20"/>
                <w:szCs w:val="20"/>
                <w:lang w:eastAsia="ja-JP"/>
              </w:rPr>
              <w:t xml:space="preserve"> for LEO</w:t>
            </w:r>
          </w:p>
        </w:tc>
        <w:tc>
          <w:tcPr>
            <w:tcW w:w="2355" w:type="dxa"/>
            <w:vAlign w:val="center"/>
          </w:tcPr>
          <w:p w14:paraId="008ED93E" w14:textId="7F5C4ECB" w:rsidR="0003118F" w:rsidRPr="00D1156E" w:rsidRDefault="0003118F"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Small</w:t>
            </w:r>
          </w:p>
        </w:tc>
        <w:tc>
          <w:tcPr>
            <w:tcW w:w="2667" w:type="dxa"/>
            <w:vAlign w:val="center"/>
          </w:tcPr>
          <w:p w14:paraId="0330D88C" w14:textId="77777777" w:rsidR="0003118F" w:rsidRPr="00D1156E" w:rsidRDefault="0003118F" w:rsidP="00D1156E">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Large</w:t>
            </w:r>
          </w:p>
        </w:tc>
        <w:tc>
          <w:tcPr>
            <w:tcW w:w="2374" w:type="dxa"/>
          </w:tcPr>
          <w:p w14:paraId="653DA5B2" w14:textId="07BD242A" w:rsidR="0003118F" w:rsidRPr="005F51BF" w:rsidRDefault="003D1E37" w:rsidP="00D1156E">
            <w:pPr>
              <w:pStyle w:val="ListParagraph"/>
              <w:ind w:left="0"/>
              <w:jc w:val="center"/>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Set-2</w:t>
            </w:r>
          </w:p>
        </w:tc>
      </w:tr>
      <w:tr w:rsidR="0003118F" w:rsidRPr="00D1156E" w14:paraId="372006CB" w14:textId="090A776F" w:rsidTr="0003118F">
        <w:trPr>
          <w:jc w:val="center"/>
        </w:trPr>
        <w:tc>
          <w:tcPr>
            <w:tcW w:w="707" w:type="dxa"/>
            <w:vAlign w:val="center"/>
          </w:tcPr>
          <w:p w14:paraId="69C1AEC2" w14:textId="77777777" w:rsidR="0003118F" w:rsidRPr="00D1156E" w:rsidRDefault="0003118F" w:rsidP="005F51BF">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Case 2</w:t>
            </w:r>
          </w:p>
        </w:tc>
        <w:tc>
          <w:tcPr>
            <w:tcW w:w="2057" w:type="dxa"/>
          </w:tcPr>
          <w:p w14:paraId="23718E41" w14:textId="15BACFE4" w:rsidR="0003118F" w:rsidRDefault="0003118F" w:rsidP="005F51BF">
            <w:pPr>
              <w:pStyle w:val="ListParagraph"/>
              <w:ind w:left="0"/>
              <w:jc w:val="center"/>
              <w:rPr>
                <w:rFonts w:ascii="Times New Roman" w:hAnsi="Times New Roman"/>
                <w:bCs/>
                <w:sz w:val="20"/>
                <w:szCs w:val="20"/>
                <w:lang w:eastAsia="ja-JP"/>
              </w:rPr>
            </w:pPr>
            <w:r w:rsidRPr="001D121A">
              <w:rPr>
                <w:rFonts w:ascii="Times New Roman" w:hAnsi="Times New Roman"/>
                <w:bCs/>
                <w:sz w:val="20"/>
                <w:szCs w:val="20"/>
                <w:lang w:eastAsia="ja-JP"/>
              </w:rPr>
              <w:t>45 degree for LEO</w:t>
            </w:r>
          </w:p>
        </w:tc>
        <w:tc>
          <w:tcPr>
            <w:tcW w:w="2355" w:type="dxa"/>
            <w:vAlign w:val="center"/>
          </w:tcPr>
          <w:p w14:paraId="2194E05C" w14:textId="447DA6B7" w:rsidR="0003118F" w:rsidRPr="00D1156E" w:rsidRDefault="0003118F" w:rsidP="005F51BF">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Medium</w:t>
            </w:r>
          </w:p>
        </w:tc>
        <w:tc>
          <w:tcPr>
            <w:tcW w:w="2667" w:type="dxa"/>
            <w:vAlign w:val="center"/>
          </w:tcPr>
          <w:p w14:paraId="676FE177" w14:textId="7C12C43D" w:rsidR="0003118F" w:rsidRPr="00D1156E" w:rsidRDefault="0003118F" w:rsidP="005F51BF">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Medium</w:t>
            </w:r>
          </w:p>
        </w:tc>
        <w:tc>
          <w:tcPr>
            <w:tcW w:w="2374" w:type="dxa"/>
          </w:tcPr>
          <w:p w14:paraId="719481A9" w14:textId="4EE82055" w:rsidR="0003118F" w:rsidRDefault="003D1E37" w:rsidP="005F51BF">
            <w:pPr>
              <w:pStyle w:val="ListParagraph"/>
              <w:ind w:left="0"/>
              <w:jc w:val="center"/>
              <w:rPr>
                <w:rFonts w:ascii="Times New Roman" w:hAnsi="Times New Roman"/>
                <w:bCs/>
                <w:sz w:val="20"/>
                <w:szCs w:val="20"/>
                <w:lang w:eastAsia="ja-JP"/>
              </w:rPr>
            </w:pPr>
            <w:r>
              <w:rPr>
                <w:rFonts w:ascii="Times New Roman" w:eastAsiaTheme="minorEastAsia" w:hAnsi="Times New Roman"/>
                <w:bCs/>
                <w:sz w:val="20"/>
                <w:szCs w:val="20"/>
                <w:lang w:eastAsia="zh-CN"/>
              </w:rPr>
              <w:t>Set-2</w:t>
            </w:r>
          </w:p>
        </w:tc>
      </w:tr>
      <w:tr w:rsidR="0003118F" w:rsidRPr="00D1156E" w14:paraId="06A779FC" w14:textId="693F3444" w:rsidTr="0003118F">
        <w:trPr>
          <w:jc w:val="center"/>
        </w:trPr>
        <w:tc>
          <w:tcPr>
            <w:tcW w:w="707" w:type="dxa"/>
            <w:vAlign w:val="center"/>
          </w:tcPr>
          <w:p w14:paraId="62B15876" w14:textId="77777777" w:rsidR="0003118F" w:rsidRPr="00D1156E" w:rsidRDefault="0003118F" w:rsidP="005F51BF">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Case 3</w:t>
            </w:r>
          </w:p>
        </w:tc>
        <w:tc>
          <w:tcPr>
            <w:tcW w:w="2057" w:type="dxa"/>
          </w:tcPr>
          <w:p w14:paraId="63690A1C" w14:textId="13CBFC27" w:rsidR="0003118F" w:rsidRDefault="000D2C6C" w:rsidP="005F51BF">
            <w:pPr>
              <w:pStyle w:val="ListParagraph"/>
              <w:ind w:left="0"/>
              <w:jc w:val="center"/>
              <w:rPr>
                <w:rFonts w:ascii="Times New Roman" w:hAnsi="Times New Roman"/>
                <w:bCs/>
                <w:sz w:val="20"/>
                <w:szCs w:val="20"/>
                <w:lang w:eastAsia="ja-JP"/>
              </w:rPr>
            </w:pPr>
            <w:r w:rsidRPr="00662DBC">
              <w:rPr>
                <w:rFonts w:ascii="Times New Roman" w:hAnsi="Times New Roman"/>
                <w:bCs/>
                <w:sz w:val="20"/>
                <w:szCs w:val="20"/>
                <w:lang w:eastAsia="ja-JP"/>
              </w:rPr>
              <w:t>10 degree for GEO and 30</w:t>
            </w:r>
            <w:r w:rsidRPr="001D121A">
              <w:rPr>
                <w:rFonts w:ascii="Times New Roman" w:hAnsi="Times New Roman"/>
                <w:bCs/>
                <w:sz w:val="20"/>
                <w:szCs w:val="20"/>
                <w:lang w:eastAsia="ja-JP"/>
              </w:rPr>
              <w:t xml:space="preserve"> degree for LEO</w:t>
            </w:r>
          </w:p>
        </w:tc>
        <w:tc>
          <w:tcPr>
            <w:tcW w:w="2355" w:type="dxa"/>
            <w:vAlign w:val="center"/>
          </w:tcPr>
          <w:p w14:paraId="08AA4422" w14:textId="0176006E" w:rsidR="0003118F" w:rsidRPr="00D1156E" w:rsidRDefault="0003118F" w:rsidP="00EF4D03">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L</w:t>
            </w:r>
            <w:r w:rsidRPr="00D1156E">
              <w:rPr>
                <w:rFonts w:ascii="Times New Roman" w:hAnsi="Times New Roman"/>
                <w:bCs/>
                <w:sz w:val="20"/>
                <w:szCs w:val="20"/>
                <w:lang w:eastAsia="ja-JP"/>
              </w:rPr>
              <w:t>arge</w:t>
            </w:r>
          </w:p>
        </w:tc>
        <w:tc>
          <w:tcPr>
            <w:tcW w:w="2667" w:type="dxa"/>
            <w:vAlign w:val="center"/>
          </w:tcPr>
          <w:p w14:paraId="07047A96" w14:textId="77777777" w:rsidR="0003118F" w:rsidRPr="00D1156E" w:rsidRDefault="0003118F" w:rsidP="005F51BF">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Small</w:t>
            </w:r>
          </w:p>
        </w:tc>
        <w:tc>
          <w:tcPr>
            <w:tcW w:w="2374" w:type="dxa"/>
          </w:tcPr>
          <w:p w14:paraId="38C508EB" w14:textId="0A86728C" w:rsidR="0003118F" w:rsidRPr="00D1156E" w:rsidRDefault="003D1E37" w:rsidP="005F51BF">
            <w:pPr>
              <w:pStyle w:val="ListParagraph"/>
              <w:ind w:left="0"/>
              <w:jc w:val="center"/>
              <w:rPr>
                <w:rFonts w:ascii="Times New Roman" w:hAnsi="Times New Roman"/>
                <w:bCs/>
                <w:sz w:val="20"/>
                <w:szCs w:val="20"/>
                <w:lang w:eastAsia="ja-JP"/>
              </w:rPr>
            </w:pPr>
            <w:r>
              <w:rPr>
                <w:rFonts w:ascii="Times New Roman" w:eastAsiaTheme="minorEastAsia" w:hAnsi="Times New Roman"/>
                <w:bCs/>
                <w:sz w:val="20"/>
                <w:szCs w:val="20"/>
                <w:lang w:eastAsia="zh-CN"/>
              </w:rPr>
              <w:t>Set-2</w:t>
            </w:r>
          </w:p>
        </w:tc>
      </w:tr>
      <w:tr w:rsidR="0003118F" w:rsidRPr="00D1156E" w14:paraId="0A38B5EB" w14:textId="79F3EEA4" w:rsidTr="0003118F">
        <w:trPr>
          <w:jc w:val="center"/>
        </w:trPr>
        <w:tc>
          <w:tcPr>
            <w:tcW w:w="707" w:type="dxa"/>
            <w:vAlign w:val="center"/>
          </w:tcPr>
          <w:p w14:paraId="61FF6C8C" w14:textId="77777777" w:rsidR="0003118F" w:rsidRPr="00D1156E" w:rsidRDefault="0003118F" w:rsidP="005F51BF">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Case 4</w:t>
            </w:r>
          </w:p>
        </w:tc>
        <w:tc>
          <w:tcPr>
            <w:tcW w:w="2057" w:type="dxa"/>
          </w:tcPr>
          <w:p w14:paraId="0D173EC2" w14:textId="289A2482" w:rsidR="0003118F" w:rsidRPr="00D1156E" w:rsidRDefault="00D86012" w:rsidP="00367948">
            <w:pPr>
              <w:pStyle w:val="ListParagraph"/>
              <w:ind w:left="0"/>
              <w:jc w:val="center"/>
              <w:rPr>
                <w:rFonts w:ascii="Times New Roman" w:hAnsi="Times New Roman"/>
                <w:bCs/>
                <w:sz w:val="20"/>
                <w:szCs w:val="20"/>
                <w:lang w:eastAsia="ja-JP"/>
              </w:rPr>
            </w:pPr>
            <w:r>
              <w:rPr>
                <w:rFonts w:ascii="Times New Roman" w:hAnsi="Times New Roman"/>
                <w:bCs/>
                <w:sz w:val="20"/>
                <w:szCs w:val="20"/>
                <w:lang w:eastAsia="ja-JP"/>
              </w:rPr>
              <w:t>W</w:t>
            </w:r>
            <w:r w:rsidR="00367948">
              <w:rPr>
                <w:rFonts w:ascii="Times New Roman" w:hAnsi="Times New Roman"/>
                <w:bCs/>
                <w:sz w:val="20"/>
                <w:szCs w:val="20"/>
                <w:lang w:eastAsia="ja-JP"/>
              </w:rPr>
              <w:t xml:space="preserve">ith </w:t>
            </w:r>
            <w:r w:rsidR="00367948" w:rsidRPr="00DA5DD4">
              <w:rPr>
                <w:rFonts w:ascii="Times New Roman" w:hAnsi="Times New Roman"/>
                <w:bCs/>
                <w:sz w:val="20"/>
                <w:szCs w:val="20"/>
                <w:lang w:eastAsia="ja-JP"/>
              </w:rPr>
              <w:t>both open loop timing and frequency compensation</w:t>
            </w:r>
          </w:p>
        </w:tc>
        <w:tc>
          <w:tcPr>
            <w:tcW w:w="2355" w:type="dxa"/>
            <w:vAlign w:val="center"/>
          </w:tcPr>
          <w:p w14:paraId="34973923" w14:textId="4FB5D0C7" w:rsidR="0003118F" w:rsidRPr="00D1156E" w:rsidRDefault="0003118F" w:rsidP="005F51BF">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Small</w:t>
            </w:r>
          </w:p>
        </w:tc>
        <w:tc>
          <w:tcPr>
            <w:tcW w:w="2667" w:type="dxa"/>
            <w:vAlign w:val="center"/>
          </w:tcPr>
          <w:p w14:paraId="2877CD2E" w14:textId="77777777" w:rsidR="0003118F" w:rsidRPr="00D1156E" w:rsidRDefault="0003118F" w:rsidP="005F51BF">
            <w:pPr>
              <w:pStyle w:val="ListParagraph"/>
              <w:ind w:left="0"/>
              <w:jc w:val="center"/>
              <w:rPr>
                <w:rFonts w:ascii="Times New Roman" w:hAnsi="Times New Roman"/>
                <w:bCs/>
                <w:sz w:val="20"/>
                <w:szCs w:val="20"/>
                <w:lang w:eastAsia="ja-JP"/>
              </w:rPr>
            </w:pPr>
            <w:r w:rsidRPr="00D1156E">
              <w:rPr>
                <w:rFonts w:ascii="Times New Roman" w:hAnsi="Times New Roman"/>
                <w:bCs/>
                <w:sz w:val="20"/>
                <w:szCs w:val="20"/>
                <w:lang w:eastAsia="ja-JP"/>
              </w:rPr>
              <w:t>Small</w:t>
            </w:r>
          </w:p>
        </w:tc>
        <w:tc>
          <w:tcPr>
            <w:tcW w:w="2374" w:type="dxa"/>
          </w:tcPr>
          <w:p w14:paraId="1E171087" w14:textId="6487EECC" w:rsidR="0003118F" w:rsidRPr="00D1156E" w:rsidRDefault="003D1E37" w:rsidP="005F51BF">
            <w:pPr>
              <w:pStyle w:val="ListParagraph"/>
              <w:ind w:left="0"/>
              <w:jc w:val="center"/>
              <w:rPr>
                <w:rFonts w:ascii="Times New Roman" w:hAnsi="Times New Roman"/>
                <w:bCs/>
                <w:sz w:val="20"/>
                <w:szCs w:val="20"/>
                <w:lang w:eastAsia="ja-JP"/>
              </w:rPr>
            </w:pPr>
            <w:r>
              <w:rPr>
                <w:rFonts w:ascii="Times New Roman" w:eastAsiaTheme="minorEastAsia" w:hAnsi="Times New Roman"/>
                <w:bCs/>
                <w:sz w:val="20"/>
                <w:szCs w:val="20"/>
                <w:lang w:eastAsia="zh-CN"/>
              </w:rPr>
              <w:t>Set-2</w:t>
            </w:r>
          </w:p>
        </w:tc>
      </w:tr>
      <w:tr w:rsidR="00D21028" w:rsidRPr="00EB0534" w14:paraId="6E110556" w14:textId="75E1C3C3" w:rsidTr="00010209">
        <w:trPr>
          <w:jc w:val="center"/>
        </w:trPr>
        <w:tc>
          <w:tcPr>
            <w:tcW w:w="10160" w:type="dxa"/>
            <w:gridSpan w:val="5"/>
          </w:tcPr>
          <w:p w14:paraId="7DE44543" w14:textId="6854F935" w:rsidR="00D21028" w:rsidRDefault="00D21028" w:rsidP="004870F1">
            <w:pPr>
              <w:rPr>
                <w:rFonts w:ascii="Times New Roman" w:eastAsia="MS Mincho" w:hAnsi="Times New Roman"/>
                <w:bCs/>
                <w:lang w:eastAsia="ja-JP"/>
              </w:rPr>
            </w:pPr>
            <w:r>
              <w:rPr>
                <w:rFonts w:ascii="Times New Roman" w:hAnsi="Times New Roman"/>
                <w:bCs/>
                <w:lang w:val="en-US" w:eastAsia="ja-JP"/>
              </w:rPr>
              <w:t xml:space="preserve">Note </w:t>
            </w:r>
            <w:r w:rsidR="00436DF9">
              <w:rPr>
                <w:rFonts w:ascii="Times New Roman" w:hAnsi="Times New Roman"/>
                <w:bCs/>
                <w:lang w:val="en-US" w:eastAsia="ja-JP"/>
              </w:rPr>
              <w:t>1</w:t>
            </w:r>
            <w:r>
              <w:rPr>
                <w:rFonts w:ascii="Times New Roman" w:hAnsi="Times New Roman"/>
                <w:bCs/>
                <w:lang w:val="en-US" w:eastAsia="ja-JP"/>
              </w:rPr>
              <w:t xml:space="preserve">: </w:t>
            </w:r>
            <w:r>
              <w:rPr>
                <w:rFonts w:ascii="Times New Roman" w:hAnsi="Times New Roman"/>
                <w:bCs/>
                <w:lang w:eastAsia="ja-JP"/>
              </w:rPr>
              <w:t>F</w:t>
            </w:r>
            <w:r w:rsidRPr="004870F1">
              <w:rPr>
                <w:rFonts w:ascii="Times New Roman" w:hAnsi="Times New Roman"/>
                <w:bCs/>
                <w:lang w:eastAsia="ja-JP"/>
              </w:rPr>
              <w:t xml:space="preserve">or channel model, </w:t>
            </w:r>
            <w:r>
              <w:rPr>
                <w:rFonts w:ascii="Times New Roman" w:hAnsi="Times New Roman"/>
                <w:bCs/>
                <w:lang w:eastAsia="ja-JP"/>
              </w:rPr>
              <w:t>NTN TDL-D is considered. D</w:t>
            </w:r>
            <w:r w:rsidRPr="004870F1">
              <w:rPr>
                <w:rFonts w:ascii="Times New Roman" w:hAnsi="Times New Roman"/>
                <w:bCs/>
                <w:lang w:eastAsia="ja-JP"/>
              </w:rPr>
              <w:t>elay</w:t>
            </w:r>
            <w:r>
              <w:rPr>
                <w:rFonts w:ascii="Times New Roman" w:hAnsi="Times New Roman"/>
                <w:bCs/>
                <w:lang w:eastAsia="ja-JP"/>
              </w:rPr>
              <w:t xml:space="preserve"> </w:t>
            </w:r>
            <w:r w:rsidRPr="004870F1">
              <w:rPr>
                <w:rFonts w:ascii="Times New Roman" w:hAnsi="Times New Roman"/>
                <w:bCs/>
                <w:lang w:eastAsia="ja-JP"/>
              </w:rPr>
              <w:t>scaling factors equals to the mean delay spread and mean K factor for suburban LOS at corresponding elevation angle for each case</w:t>
            </w:r>
            <w:r>
              <w:rPr>
                <w:rFonts w:ascii="Times New Roman" w:hAnsi="Times New Roman"/>
                <w:bCs/>
                <w:lang w:eastAsia="ja-JP"/>
              </w:rPr>
              <w:t>. Omni-directional antenna with single antenna element is considered for UL transmission.</w:t>
            </w:r>
          </w:p>
          <w:p w14:paraId="7A661CFD" w14:textId="798299E4" w:rsidR="00D21028" w:rsidRDefault="00D21028" w:rsidP="004870F1">
            <w:pPr>
              <w:rPr>
                <w:rFonts w:ascii="Times New Roman" w:eastAsiaTheme="minorEastAsia" w:hAnsi="Times New Roman"/>
                <w:bCs/>
                <w:lang w:eastAsia="zh-CN"/>
              </w:rPr>
            </w:pPr>
            <w:r>
              <w:rPr>
                <w:rFonts w:ascii="Times New Roman" w:eastAsiaTheme="minorEastAsia" w:hAnsi="Times New Roman"/>
                <w:bCs/>
                <w:lang w:eastAsia="zh-CN"/>
              </w:rPr>
              <w:t xml:space="preserve">Note </w:t>
            </w:r>
            <w:r w:rsidR="00436DF9">
              <w:rPr>
                <w:rFonts w:ascii="Times New Roman" w:eastAsiaTheme="minorEastAsia" w:hAnsi="Times New Roman"/>
                <w:bCs/>
                <w:lang w:eastAsia="zh-CN"/>
              </w:rPr>
              <w:t>2</w:t>
            </w:r>
            <w:r>
              <w:rPr>
                <w:rFonts w:ascii="Times New Roman" w:eastAsiaTheme="minorEastAsia" w:hAnsi="Times New Roman"/>
                <w:bCs/>
                <w:lang w:eastAsia="zh-CN"/>
              </w:rPr>
              <w:t>: Companies are encouraged to report the receiver for PRACH detection.</w:t>
            </w:r>
          </w:p>
          <w:p w14:paraId="5B1B6952" w14:textId="735FB81A" w:rsidR="00D21028" w:rsidRDefault="00D21028" w:rsidP="007C0C9B">
            <w:pPr>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Note </w:t>
            </w:r>
            <w:r w:rsidR="00436DF9">
              <w:rPr>
                <w:rFonts w:ascii="Times New Roman" w:eastAsiaTheme="minorEastAsia" w:hAnsi="Times New Roman"/>
                <w:bCs/>
                <w:lang w:eastAsia="zh-CN"/>
              </w:rPr>
              <w:t>3</w:t>
            </w:r>
            <w:r>
              <w:rPr>
                <w:rFonts w:ascii="Times New Roman" w:eastAsiaTheme="minorEastAsia" w:hAnsi="Times New Roman"/>
                <w:bCs/>
                <w:lang w:eastAsia="zh-CN"/>
              </w:rPr>
              <w:t>: As the baseline, the number of UEs is 2 and both UEs belong to single RO with different timing offsets/Doppler, which are  randomly picked within the [0 Max_differential_delay]/[-max_UL_frequency_offset  max_UL_frequency_offset] per case;</w:t>
            </w:r>
          </w:p>
          <w:p w14:paraId="39DB13CB" w14:textId="7C79ED49" w:rsidR="00D21028" w:rsidRDefault="00D21028" w:rsidP="007C0C9B">
            <w:pPr>
              <w:rPr>
                <w:rFonts w:ascii="Times New Roman" w:eastAsiaTheme="minorEastAsia" w:hAnsi="Times New Roman"/>
                <w:bCs/>
                <w:lang w:eastAsia="zh-CN"/>
              </w:rPr>
            </w:pPr>
            <w:r>
              <w:rPr>
                <w:rFonts w:ascii="Times New Roman" w:eastAsiaTheme="minorEastAsia" w:hAnsi="Times New Roman" w:hint="eastAsia"/>
                <w:bCs/>
                <w:lang w:eastAsia="zh-CN"/>
              </w:rPr>
              <w:t>N</w:t>
            </w:r>
            <w:r>
              <w:rPr>
                <w:rFonts w:ascii="Times New Roman" w:eastAsiaTheme="minorEastAsia" w:hAnsi="Times New Roman"/>
                <w:bCs/>
                <w:lang w:eastAsia="zh-CN"/>
              </w:rPr>
              <w:t xml:space="preserve">ote </w:t>
            </w:r>
            <w:r w:rsidR="00436DF9">
              <w:rPr>
                <w:rFonts w:ascii="Times New Roman" w:eastAsiaTheme="minorEastAsia" w:hAnsi="Times New Roman"/>
                <w:bCs/>
                <w:lang w:eastAsia="zh-CN"/>
              </w:rPr>
              <w:t>4</w:t>
            </w:r>
            <w:r>
              <w:rPr>
                <w:rFonts w:ascii="Times New Roman" w:eastAsiaTheme="minorEastAsia" w:hAnsi="Times New Roman"/>
                <w:bCs/>
                <w:lang w:eastAsia="zh-CN"/>
              </w:rPr>
              <w:t>: Fixed power offset between UEs is 3dB.</w:t>
            </w:r>
          </w:p>
          <w:p w14:paraId="4748CCF9" w14:textId="125CF979" w:rsidR="00D21028" w:rsidRDefault="00D21028" w:rsidP="007230A1">
            <w:r>
              <w:rPr>
                <w:rFonts w:ascii="Times New Roman" w:eastAsiaTheme="minorEastAsia" w:hAnsi="Times New Roman"/>
                <w:bCs/>
                <w:lang w:eastAsia="zh-CN"/>
              </w:rPr>
              <w:t xml:space="preserve">Note </w:t>
            </w:r>
            <w:r w:rsidR="00436DF9">
              <w:rPr>
                <w:rFonts w:ascii="Times New Roman" w:eastAsiaTheme="minorEastAsia" w:hAnsi="Times New Roman"/>
                <w:bCs/>
                <w:lang w:eastAsia="zh-CN"/>
              </w:rPr>
              <w:t>5</w:t>
            </w:r>
            <w:r>
              <w:rPr>
                <w:rFonts w:ascii="Times New Roman" w:eastAsiaTheme="minorEastAsia" w:hAnsi="Times New Roman"/>
                <w:bCs/>
                <w:lang w:eastAsia="zh-CN"/>
              </w:rPr>
              <w:t xml:space="preserve">: Metrics including CDF of estimation error for frequency/timing, FAR (Based on the preamble pool size is not less than 64), </w:t>
            </w:r>
            <w:r>
              <w:t>MDR, are considered.</w:t>
            </w:r>
          </w:p>
          <w:p w14:paraId="711FFCEF" w14:textId="6DC5FC70" w:rsidR="00D21028" w:rsidRPr="007230A1" w:rsidRDefault="00D21028" w:rsidP="00436DF9">
            <w:r>
              <w:t xml:space="preserve">Note </w:t>
            </w:r>
            <w:r w:rsidR="00436DF9">
              <w:t>6</w:t>
            </w:r>
            <w:r>
              <w:t xml:space="preserve">: The SINR of the stronger UE for simulation is based on the SNR from </w:t>
            </w:r>
            <w:r w:rsidRPr="00997D40">
              <w:t>link budget</w:t>
            </w:r>
            <w:r w:rsidR="00E42FB8">
              <w:t xml:space="preserve"> (with bandwidth for UL = 1MHz</w:t>
            </w:r>
            <w:r w:rsidR="002659CE">
              <w:t xml:space="preserve"> for VSAT</w:t>
            </w:r>
            <w:r w:rsidR="00B44BF3">
              <w:t xml:space="preserve"> in Ka, and Handheld for S</w:t>
            </w:r>
            <w:r w:rsidR="00E42FB8">
              <w:t>)</w:t>
            </w:r>
            <w:r>
              <w:t xml:space="preserve"> with additional offset (e.g., [-6</w:t>
            </w:r>
            <w:r w:rsidR="00E61858">
              <w:t xml:space="preserve"> -</w:t>
            </w:r>
            <w:r w:rsidR="00A572A2">
              <w:t xml:space="preserve"> log</w:t>
            </w:r>
            <w:r w:rsidR="00A572A2" w:rsidRPr="001B1BD2">
              <w:rPr>
                <w:vertAlign w:val="subscript"/>
              </w:rPr>
              <w:t>10</w:t>
            </w:r>
            <w:r w:rsidR="00A572A2">
              <w:t>(Bandwidth</w:t>
            </w:r>
            <w:r w:rsidR="00205F70">
              <w:t xml:space="preserve"> [MHz]</w:t>
            </w:r>
            <w:r w:rsidR="00A572A2">
              <w:t>)</w:t>
            </w:r>
            <w:r>
              <w:t>] dB) per case.</w:t>
            </w:r>
          </w:p>
        </w:tc>
      </w:tr>
    </w:tbl>
    <w:p w14:paraId="0FC86466" w14:textId="77777777" w:rsidR="00D1156E" w:rsidRPr="007C0C9B" w:rsidRDefault="00D1156E" w:rsidP="00D1156E">
      <w:pPr>
        <w:pStyle w:val="ListParagraph"/>
        <w:snapToGrid w:val="0"/>
        <w:spacing w:beforeLines="50" w:before="120" w:afterLines="50" w:after="120"/>
        <w:ind w:left="1680"/>
        <w:jc w:val="both"/>
        <w:rPr>
          <w:rFonts w:ascii="Times New Roman" w:hAnsi="Times New Roman"/>
          <w:i/>
          <w:color w:val="000000" w:themeColor="text1"/>
          <w:sz w:val="20"/>
          <w:szCs w:val="20"/>
          <w:lang w:val="en-GB"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7019" w14:paraId="1B18823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DC0FAE8" w14:textId="77777777" w:rsidR="00BC7019" w:rsidRDefault="00BC7019"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668565" w14:textId="77777777" w:rsidR="00BC7019" w:rsidRDefault="00BC7019" w:rsidP="00501EC1">
            <w:pPr>
              <w:jc w:val="center"/>
              <w:rPr>
                <w:b/>
                <w:sz w:val="28"/>
                <w:lang w:eastAsia="zh-CN"/>
              </w:rPr>
            </w:pPr>
            <w:r w:rsidRPr="008D3FED">
              <w:rPr>
                <w:b/>
                <w:sz w:val="22"/>
                <w:lang w:eastAsia="zh-CN"/>
              </w:rPr>
              <w:t>Comments and Views</w:t>
            </w:r>
          </w:p>
        </w:tc>
      </w:tr>
      <w:tr w:rsidR="00BC7019" w14:paraId="0C6E119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47F151" w14:textId="7776D377" w:rsidR="00BC7019" w:rsidRDefault="00BC7019" w:rsidP="00501EC1">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61015D88" w14:textId="2EEDE4FF" w:rsidR="00BC7019" w:rsidRDefault="00BC7019" w:rsidP="000A50D3">
            <w:pPr>
              <w:snapToGrid w:val="0"/>
              <w:rPr>
                <w:lang w:eastAsia="zh-CN"/>
              </w:rPr>
            </w:pPr>
          </w:p>
        </w:tc>
      </w:tr>
      <w:tr w:rsidR="00BC7019" w14:paraId="46A14CF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A55F89" w14:textId="77777777" w:rsidR="00BC7019" w:rsidRDefault="00BC7019"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44F05E0" w14:textId="77777777" w:rsidR="00BC7019" w:rsidRDefault="00BC7019" w:rsidP="00B41C93">
            <w:pPr>
              <w:snapToGrid w:val="0"/>
            </w:pPr>
          </w:p>
        </w:tc>
      </w:tr>
    </w:tbl>
    <w:p w14:paraId="6390929E" w14:textId="77777777" w:rsidR="00EC2AB3" w:rsidRPr="008335F9"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PRACH procedure</w:t>
      </w:r>
    </w:p>
    <w:p w14:paraId="359199D9" w14:textId="3E445C06" w:rsidR="000B3092" w:rsidRDefault="00B40122" w:rsidP="000B3092">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Consideration on the enhancements for RACH procedure including</w:t>
      </w:r>
      <w:r w:rsidR="00327907">
        <w:rPr>
          <w:rFonts w:eastAsiaTheme="minorEastAsia"/>
          <w:lang w:eastAsia="zh-CN"/>
        </w:rPr>
        <w:t xml:space="preserve"> extension of the delay for Msg-3 scheduling [HW</w:t>
      </w:r>
      <w:r w:rsidR="002A18DC">
        <w:rPr>
          <w:rFonts w:eastAsiaTheme="minorEastAsia"/>
          <w:lang w:eastAsia="zh-CN"/>
        </w:rPr>
        <w:t>, CAICT, ZTE</w:t>
      </w:r>
      <w:r w:rsidR="00327907">
        <w:rPr>
          <w:rFonts w:eastAsiaTheme="minorEastAsia"/>
          <w:lang w:eastAsia="zh-CN"/>
        </w:rPr>
        <w:t>]</w:t>
      </w:r>
      <w:r w:rsidR="004F4A70">
        <w:rPr>
          <w:rFonts w:eastAsiaTheme="minorEastAsia"/>
          <w:lang w:eastAsia="zh-CN"/>
        </w:rPr>
        <w:t>.</w:t>
      </w:r>
      <w:r w:rsidR="003F4FF7">
        <w:rPr>
          <w:rFonts w:eastAsiaTheme="minorEastAsia"/>
          <w:lang w:eastAsia="zh-CN"/>
        </w:rPr>
        <w:t xml:space="preserve"> Additional enhancement on the configuration PRACH occasion, e.g., beam specific, is also proposed in [QC]</w:t>
      </w:r>
      <w:r w:rsidR="000B3092">
        <w:rPr>
          <w:rFonts w:eastAsiaTheme="minorEastAsia"/>
          <w:lang w:eastAsia="zh-CN"/>
        </w:rPr>
        <w:t xml:space="preserve"> and separate configuration can be considered if different methods, e.g., open/closed, are used for UL timing/frequency </w:t>
      </w:r>
      <w:r w:rsidR="00624835">
        <w:rPr>
          <w:rFonts w:eastAsiaTheme="minorEastAsia"/>
          <w:lang w:eastAsia="zh-CN"/>
        </w:rPr>
        <w:t>correction [Ericsson, ZTE]</w:t>
      </w:r>
    </w:p>
    <w:p w14:paraId="4FFB1F5C" w14:textId="6A327404" w:rsidR="00C111D9" w:rsidRPr="000D74AF" w:rsidRDefault="00C111D9" w:rsidP="000B3092">
      <w:pPr>
        <w:pStyle w:val="BodyText"/>
        <w:suppressAutoHyphens/>
        <w:overflowPunct/>
        <w:autoSpaceDE/>
        <w:autoSpaceDN/>
        <w:snapToGrid w:val="0"/>
        <w:spacing w:beforeLines="50" w:before="120" w:afterLines="50"/>
        <w:ind w:left="357"/>
        <w:textAlignment w:val="auto"/>
        <w:rPr>
          <w:rFonts w:ascii="Times New Roman" w:hAnsi="Times New Roman"/>
          <w:szCs w:val="20"/>
          <w:lang w:val="en-GB"/>
        </w:rPr>
      </w:pPr>
      <w:r>
        <w:rPr>
          <w:rFonts w:eastAsiaTheme="minorEastAsia"/>
          <w:lang w:eastAsia="zh-CN"/>
        </w:rPr>
        <w:t>W</w:t>
      </w:r>
      <w:r w:rsidR="001E406D">
        <w:rPr>
          <w:rFonts w:eastAsiaTheme="minorEastAsia"/>
          <w:lang w:eastAsia="zh-CN"/>
        </w:rPr>
        <w:t>.r.t the enhancement for the RAR window/RA-RNTI related issues, with consideration of the RAN2 discussion and agreement, as proposed by [Ericsson], corresponding decision should be up to RAN2 discussion.</w:t>
      </w:r>
      <w:r>
        <w:rPr>
          <w:rFonts w:eastAsiaTheme="minorEastAsia"/>
          <w:lang w:eastAsia="zh-CN"/>
        </w:rPr>
        <w:t xml:space="preserve"> Moreover, as highlighted by [Nokia], the</w:t>
      </w:r>
      <w:r>
        <w:rPr>
          <w:rFonts w:ascii="Times New Roman" w:hAnsi="Times New Roman"/>
          <w:szCs w:val="20"/>
          <w:lang w:val="en-GB"/>
        </w:rPr>
        <w:t xml:space="preserve"> </w:t>
      </w:r>
      <w:r w:rsidRPr="000D74AF">
        <w:rPr>
          <w:rFonts w:ascii="Times New Roman" w:hAnsi="Times New Roman"/>
          <w:szCs w:val="20"/>
          <w:lang w:val="en-GB"/>
        </w:rPr>
        <w:t xml:space="preserve">UE’s power consumption </w:t>
      </w:r>
      <w:r>
        <w:rPr>
          <w:rFonts w:ascii="Times New Roman" w:hAnsi="Times New Roman"/>
          <w:szCs w:val="20"/>
          <w:lang w:val="en-GB"/>
        </w:rPr>
        <w:t xml:space="preserve">and </w:t>
      </w:r>
      <w:r w:rsidRPr="000D74AF">
        <w:rPr>
          <w:rFonts w:ascii="Times New Roman" w:hAnsi="Times New Roman"/>
          <w:szCs w:val="20"/>
          <w:lang w:val="en-GB"/>
        </w:rPr>
        <w:t xml:space="preserve">reliability </w:t>
      </w:r>
      <w:r>
        <w:rPr>
          <w:rFonts w:ascii="Times New Roman" w:hAnsi="Times New Roman"/>
          <w:szCs w:val="20"/>
          <w:lang w:val="en-GB"/>
        </w:rPr>
        <w:t xml:space="preserve">should be considered in the random access procedure and </w:t>
      </w:r>
      <w:r w:rsidRPr="000D74AF">
        <w:rPr>
          <w:rFonts w:ascii="Times New Roman" w:hAnsi="Times New Roman"/>
          <w:szCs w:val="20"/>
          <w:lang w:val="en-GB"/>
        </w:rPr>
        <w:t xml:space="preserve">UE and satellite positions </w:t>
      </w:r>
      <w:r>
        <w:rPr>
          <w:rFonts w:ascii="Times New Roman" w:hAnsi="Times New Roman"/>
          <w:szCs w:val="20"/>
          <w:lang w:val="en-GB"/>
        </w:rPr>
        <w:t>should be considered</w:t>
      </w:r>
      <w:r w:rsidRPr="000D74AF">
        <w:rPr>
          <w:rFonts w:ascii="Times New Roman" w:hAnsi="Times New Roman"/>
          <w:szCs w:val="20"/>
          <w:lang w:val="en-GB"/>
        </w:rPr>
        <w:t xml:space="preserve"> if UE location information is available.</w:t>
      </w:r>
    </w:p>
    <w:p w14:paraId="34EDDB1B" w14:textId="26061A2D" w:rsidR="00FE2A35" w:rsidRPr="00EC64C9" w:rsidRDefault="00FE2A35" w:rsidP="00C111D9">
      <w:pPr>
        <w:pStyle w:val="BodyText"/>
        <w:suppressAutoHyphens/>
        <w:overflowPunct/>
        <w:autoSpaceDE/>
        <w:autoSpaceDN/>
        <w:snapToGrid w:val="0"/>
        <w:spacing w:beforeLines="50" w:before="120" w:afterLines="50"/>
        <w:ind w:left="357"/>
        <w:textAlignment w:val="auto"/>
        <w:rPr>
          <w:rFonts w:eastAsiaTheme="minorEastAsia"/>
          <w:lang w:eastAsia="zh-CN"/>
        </w:rPr>
      </w:pPr>
      <w:r w:rsidRPr="00EC64C9">
        <w:rPr>
          <w:rFonts w:eastAsiaTheme="minorEastAsia"/>
          <w:lang w:eastAsia="zh-CN"/>
        </w:rPr>
        <w:t xml:space="preserve">Based on the above analysis, following proposal </w:t>
      </w:r>
      <w:r w:rsidR="00C15064">
        <w:rPr>
          <w:rFonts w:eastAsiaTheme="minorEastAsia"/>
          <w:lang w:eastAsia="zh-CN"/>
        </w:rPr>
        <w:t>is provided</w:t>
      </w:r>
      <w:r w:rsidRPr="00EC64C9">
        <w:rPr>
          <w:rFonts w:eastAsiaTheme="minorEastAsia"/>
          <w:lang w:eastAsia="zh-CN"/>
        </w:rPr>
        <w:t xml:space="preserve"> according to majority view:</w:t>
      </w:r>
    </w:p>
    <w:p w14:paraId="664846A9" w14:textId="755D185E" w:rsidR="00FE2A35" w:rsidRPr="00FE2A35" w:rsidRDefault="00FE2A35" w:rsidP="00C111D9">
      <w:pPr>
        <w:snapToGrid w:val="0"/>
        <w:spacing w:after="0"/>
        <w:ind w:left="289" w:firstLine="68"/>
        <w:rPr>
          <w:rFonts w:eastAsiaTheme="minorEastAsia"/>
          <w:i/>
          <w:lang w:val="en-US" w:eastAsia="zh-CN"/>
        </w:rPr>
      </w:pPr>
      <w:r w:rsidRPr="00FE2A35">
        <w:rPr>
          <w:rFonts w:eastAsiaTheme="minorEastAsia" w:hint="eastAsia"/>
          <w:b/>
          <w:i/>
          <w:lang w:val="en-US" w:eastAsia="zh-CN"/>
        </w:rPr>
        <w:t>P</w:t>
      </w:r>
      <w:r w:rsidRPr="00FE2A35">
        <w:rPr>
          <w:rFonts w:eastAsiaTheme="minorEastAsia"/>
          <w:b/>
          <w:i/>
          <w:lang w:val="en-US" w:eastAsia="zh-CN"/>
        </w:rPr>
        <w:t xml:space="preserve">roposal </w:t>
      </w:r>
      <w:r w:rsidR="00D25A56">
        <w:rPr>
          <w:rFonts w:eastAsiaTheme="minorEastAsia"/>
          <w:b/>
          <w:i/>
          <w:lang w:val="en-US" w:eastAsia="zh-CN"/>
        </w:rPr>
        <w:t>7</w:t>
      </w:r>
      <w:r w:rsidRPr="00FE2A35">
        <w:rPr>
          <w:rFonts w:eastAsiaTheme="minorEastAsia"/>
          <w:b/>
          <w:i/>
          <w:lang w:val="en-US" w:eastAsia="zh-CN"/>
        </w:rPr>
        <w:t>:</w:t>
      </w:r>
      <w:r w:rsidRPr="00FE2A35">
        <w:rPr>
          <w:rFonts w:eastAsiaTheme="minorEastAsia"/>
          <w:i/>
          <w:lang w:val="en-US" w:eastAsia="zh-CN"/>
        </w:rPr>
        <w:t xml:space="preserve"> Enhancement on existing 4-step RACH procedure can be studied in NTN:</w:t>
      </w:r>
    </w:p>
    <w:p w14:paraId="7DCBA57F" w14:textId="3924E2E3" w:rsidR="00FE2A35" w:rsidRPr="00AF2ADF" w:rsidRDefault="00FE2A35" w:rsidP="00207430">
      <w:pPr>
        <w:pStyle w:val="ListParagraph"/>
        <w:numPr>
          <w:ilvl w:val="1"/>
          <w:numId w:val="12"/>
        </w:numPr>
        <w:snapToGrid w:val="0"/>
        <w:spacing w:beforeLines="50" w:before="120" w:afterLines="50" w:after="120"/>
        <w:ind w:leftChars="454" w:left="1328"/>
        <w:jc w:val="both"/>
        <w:rPr>
          <w:rFonts w:ascii="Times New Roman" w:eastAsiaTheme="minorEastAsia" w:hAnsi="Times New Roman"/>
          <w:i/>
          <w:sz w:val="20"/>
          <w:szCs w:val="20"/>
          <w:lang w:eastAsia="zh-CN"/>
        </w:rPr>
      </w:pPr>
      <w:r w:rsidRPr="00AF2ADF">
        <w:rPr>
          <w:rFonts w:ascii="Times New Roman" w:eastAsiaTheme="minorEastAsia" w:hAnsi="Times New Roman"/>
          <w:i/>
          <w:sz w:val="20"/>
          <w:szCs w:val="20"/>
          <w:lang w:eastAsia="zh-CN"/>
        </w:rPr>
        <w:t>Agreements on timer</w:t>
      </w:r>
      <w:r w:rsidRPr="00AF2ADF">
        <w:rPr>
          <w:rFonts w:ascii="Times New Roman" w:eastAsiaTheme="minorEastAsia" w:hAnsi="Times New Roman" w:hint="eastAsia"/>
          <w:i/>
          <w:sz w:val="20"/>
          <w:szCs w:val="20"/>
          <w:lang w:eastAsia="zh-CN"/>
        </w:rPr>
        <w:t>/</w:t>
      </w:r>
      <w:r w:rsidRPr="00AF2ADF">
        <w:rPr>
          <w:rFonts w:ascii="Times New Roman" w:eastAsiaTheme="minorEastAsia" w:hAnsi="Times New Roman"/>
          <w:i/>
          <w:sz w:val="20"/>
          <w:szCs w:val="20"/>
          <w:lang w:eastAsia="zh-CN"/>
        </w:rPr>
        <w:t xml:space="preserve">window related issues, e.g., ra-ResponseWindow, ra-ContentionResolutionTimer, </w:t>
      </w:r>
      <w:r w:rsidR="00F00202">
        <w:rPr>
          <w:rFonts w:ascii="Times New Roman" w:eastAsiaTheme="minorEastAsia" w:hAnsi="Times New Roman"/>
          <w:i/>
          <w:sz w:val="20"/>
          <w:szCs w:val="20"/>
          <w:lang w:eastAsia="zh-CN"/>
        </w:rPr>
        <w:t>will be up to RAN2 decision</w:t>
      </w:r>
    </w:p>
    <w:p w14:paraId="0898ECC1" w14:textId="107F423F" w:rsidR="00FE2A35" w:rsidRDefault="00FE2A35" w:rsidP="00207430">
      <w:pPr>
        <w:pStyle w:val="ListParagraph"/>
        <w:numPr>
          <w:ilvl w:val="1"/>
          <w:numId w:val="12"/>
        </w:numPr>
        <w:snapToGrid w:val="0"/>
        <w:spacing w:beforeLines="50" w:before="120" w:afterLines="50" w:after="120"/>
        <w:ind w:leftChars="454" w:left="1328"/>
        <w:jc w:val="both"/>
        <w:rPr>
          <w:rFonts w:ascii="Times New Roman" w:eastAsiaTheme="minorEastAsia" w:hAnsi="Times New Roman"/>
          <w:i/>
          <w:sz w:val="20"/>
          <w:szCs w:val="20"/>
          <w:lang w:eastAsia="zh-CN"/>
        </w:rPr>
      </w:pPr>
      <w:r w:rsidRPr="00AF2ADF">
        <w:rPr>
          <w:rFonts w:ascii="Times New Roman" w:eastAsiaTheme="minorEastAsia" w:hAnsi="Times New Roman"/>
          <w:i/>
          <w:sz w:val="20"/>
          <w:szCs w:val="20"/>
          <w:lang w:eastAsia="zh-CN"/>
        </w:rPr>
        <w:t xml:space="preserve">Additional issues, e.g., </w:t>
      </w:r>
      <w:r w:rsidR="00B346E7">
        <w:rPr>
          <w:rFonts w:ascii="Times New Roman" w:eastAsiaTheme="minorEastAsia" w:hAnsi="Times New Roman"/>
          <w:i/>
          <w:sz w:val="20"/>
          <w:szCs w:val="20"/>
          <w:lang w:eastAsia="zh-CN"/>
        </w:rPr>
        <w:t xml:space="preserve">configuration of RO, </w:t>
      </w:r>
      <w:r w:rsidRPr="00AF2ADF">
        <w:rPr>
          <w:rFonts w:ascii="Times New Roman" w:eastAsiaTheme="minorEastAsia" w:hAnsi="Times New Roman"/>
          <w:i/>
          <w:sz w:val="20"/>
          <w:szCs w:val="20"/>
          <w:lang w:eastAsia="zh-CN"/>
        </w:rPr>
        <w:t xml:space="preserve">association between PRACH and RO, SSB and RO and scheduling of Msg3, can be </w:t>
      </w:r>
      <w:r w:rsidR="009048B4">
        <w:rPr>
          <w:rFonts w:ascii="Times New Roman" w:eastAsiaTheme="minorEastAsia" w:hAnsi="Times New Roman"/>
          <w:i/>
          <w:sz w:val="20"/>
          <w:szCs w:val="20"/>
          <w:lang w:eastAsia="zh-CN"/>
        </w:rPr>
        <w:t>considered</w:t>
      </w:r>
      <w:r w:rsidRPr="00AF2ADF">
        <w:rPr>
          <w:rFonts w:ascii="Times New Roman" w:eastAsiaTheme="minorEastAsia" w:hAnsi="Times New Roman"/>
          <w:i/>
          <w:sz w:val="20"/>
          <w:szCs w:val="20"/>
          <w:lang w:eastAsia="zh-CN"/>
        </w:rPr>
        <w:t xml:space="preserve"> in RAN1. </w:t>
      </w:r>
    </w:p>
    <w:p w14:paraId="1ECCA31B" w14:textId="64EF0CF4" w:rsidR="00EC2AB3" w:rsidRPr="00EA59B5" w:rsidRDefault="00AF2ADF" w:rsidP="004C738D">
      <w:pPr>
        <w:pStyle w:val="ListParagraph"/>
        <w:numPr>
          <w:ilvl w:val="1"/>
          <w:numId w:val="12"/>
        </w:numPr>
        <w:snapToGrid w:val="0"/>
        <w:spacing w:beforeLines="50" w:before="120" w:afterLines="50" w:after="120"/>
        <w:ind w:leftChars="454" w:left="1328"/>
        <w:jc w:val="both"/>
        <w:rPr>
          <w:lang w:eastAsia="zh-CN"/>
        </w:rPr>
      </w:pPr>
      <w:r w:rsidRPr="00EA59B5">
        <w:rPr>
          <w:rFonts w:ascii="Times New Roman" w:eastAsiaTheme="minorEastAsia" w:hAnsi="Times New Roman"/>
          <w:i/>
          <w:sz w:val="20"/>
          <w:szCs w:val="20"/>
          <w:lang w:eastAsia="zh-CN"/>
        </w:rPr>
        <w:t>FFS on impacts on the RACH procedure with known UE and satellite information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F2ADF" w14:paraId="71EDA17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7D7DD79" w14:textId="77777777" w:rsidR="00AF2ADF" w:rsidRDefault="00AF2ADF"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581A15" w14:textId="77777777" w:rsidR="00AF2ADF" w:rsidRDefault="00AF2ADF" w:rsidP="00501EC1">
            <w:pPr>
              <w:jc w:val="center"/>
              <w:rPr>
                <w:b/>
                <w:sz w:val="28"/>
                <w:lang w:eastAsia="zh-CN"/>
              </w:rPr>
            </w:pPr>
            <w:r w:rsidRPr="008D3FED">
              <w:rPr>
                <w:b/>
                <w:sz w:val="22"/>
                <w:lang w:eastAsia="zh-CN"/>
              </w:rPr>
              <w:t>Comments and Views</w:t>
            </w:r>
          </w:p>
        </w:tc>
      </w:tr>
      <w:tr w:rsidR="00AF2ADF" w14:paraId="7875E4C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9675E" w14:textId="77777777" w:rsidR="00AF2ADF" w:rsidRDefault="00AF2ADF"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4DF6015" w14:textId="77777777" w:rsidR="00AF2ADF" w:rsidRDefault="00AF2ADF" w:rsidP="00501EC1">
            <w:pPr>
              <w:snapToGrid w:val="0"/>
              <w:ind w:left="360"/>
            </w:pPr>
          </w:p>
        </w:tc>
      </w:tr>
      <w:tr w:rsidR="00AF2ADF" w14:paraId="01257737"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E715" w14:textId="77777777" w:rsidR="00AF2ADF" w:rsidRDefault="00AF2ADF"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86BF868" w14:textId="77777777" w:rsidR="00AF2ADF" w:rsidRDefault="00AF2ADF" w:rsidP="00501EC1">
            <w:pPr>
              <w:snapToGrid w:val="0"/>
              <w:ind w:left="360"/>
            </w:pPr>
          </w:p>
        </w:tc>
      </w:tr>
    </w:tbl>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832"/>
      </w:tblGrid>
      <w:tr w:rsidR="00DF3183" w:rsidRPr="0029659D" w14:paraId="1175BF44" w14:textId="77777777" w:rsidTr="009F01EA">
        <w:trPr>
          <w:trHeight w:val="400"/>
          <w:jc w:val="center"/>
        </w:trPr>
        <w:tc>
          <w:tcPr>
            <w:tcW w:w="0" w:type="auto"/>
            <w:shd w:val="clear" w:color="auto" w:fill="auto"/>
            <w:vAlign w:val="center"/>
          </w:tcPr>
          <w:p w14:paraId="1FCE807D" w14:textId="77777777" w:rsidR="00DF3183" w:rsidRPr="0029659D" w:rsidRDefault="00DF3183" w:rsidP="00B94F95">
            <w:pPr>
              <w:snapToGrid w:val="0"/>
              <w:spacing w:after="0"/>
              <w:jc w:val="center"/>
            </w:pPr>
            <w:r w:rsidRPr="0029659D">
              <w:t>Contribution</w:t>
            </w:r>
          </w:p>
        </w:tc>
        <w:tc>
          <w:tcPr>
            <w:tcW w:w="0" w:type="auto"/>
            <w:vAlign w:val="center"/>
          </w:tcPr>
          <w:p w14:paraId="502408E3" w14:textId="77777777" w:rsidR="00DF3183" w:rsidRPr="0029659D" w:rsidRDefault="00DF3183" w:rsidP="00B94F95">
            <w:pPr>
              <w:snapToGrid w:val="0"/>
              <w:spacing w:after="0"/>
              <w:jc w:val="center"/>
            </w:pPr>
            <w:r w:rsidRPr="0029659D">
              <w:t>Observation/Proposals</w:t>
            </w:r>
          </w:p>
        </w:tc>
      </w:tr>
      <w:tr w:rsidR="00DF3183" w:rsidRPr="0029659D" w14:paraId="14AB9824" w14:textId="77777777" w:rsidTr="009F01EA">
        <w:trPr>
          <w:trHeight w:val="400"/>
          <w:jc w:val="center"/>
        </w:trPr>
        <w:tc>
          <w:tcPr>
            <w:tcW w:w="0" w:type="auto"/>
            <w:shd w:val="clear" w:color="auto" w:fill="auto"/>
            <w:vAlign w:val="center"/>
            <w:hideMark/>
          </w:tcPr>
          <w:p w14:paraId="6A8B79EF" w14:textId="545FEBAF" w:rsidR="009F01EA" w:rsidRPr="0029659D" w:rsidRDefault="00DF3183" w:rsidP="00B94F95">
            <w:pPr>
              <w:snapToGrid w:val="0"/>
              <w:spacing w:after="0"/>
              <w:jc w:val="center"/>
            </w:pPr>
            <w:r w:rsidRPr="0029659D">
              <w:t>R1-1908015</w:t>
            </w:r>
          </w:p>
          <w:p w14:paraId="6D373C29" w14:textId="03D1A6A3" w:rsidR="00DF3183" w:rsidRPr="0029659D" w:rsidRDefault="00DF3183" w:rsidP="00B94F95">
            <w:pPr>
              <w:snapToGrid w:val="0"/>
              <w:spacing w:after="0"/>
              <w:jc w:val="center"/>
            </w:pPr>
            <w:r w:rsidRPr="0029659D">
              <w:t>MTK</w:t>
            </w:r>
          </w:p>
        </w:tc>
        <w:tc>
          <w:tcPr>
            <w:tcW w:w="0" w:type="auto"/>
            <w:vAlign w:val="center"/>
          </w:tcPr>
          <w:p w14:paraId="675256DA" w14:textId="5FCAF3AB" w:rsidR="006E0F36" w:rsidRPr="0029659D" w:rsidRDefault="006E0F36" w:rsidP="00B94F95">
            <w:pPr>
              <w:snapToGrid w:val="0"/>
              <w:spacing w:after="0"/>
            </w:pPr>
            <w:r w:rsidRPr="0029659D">
              <w:t>Observation 2-1: Under frequency pre-compensation for NTN scenario, the frequency offset on uplink can generally be expressed as +/- 2*fd, where +/- fd is the frequency offset due to Doppler shift observed from downlink</w:t>
            </w:r>
          </w:p>
          <w:p w14:paraId="52F9D997" w14:textId="07F2D26C" w:rsidR="006E0F36" w:rsidRPr="0029659D" w:rsidRDefault="006E0F36" w:rsidP="00B94F95">
            <w:pPr>
              <w:snapToGrid w:val="0"/>
              <w:spacing w:after="0"/>
            </w:pPr>
            <w:r w:rsidRPr="0029659D">
              <w:t xml:space="preserve">Observation 2-2: Under NTN scenario, the range of frequency offset of +/- 2*fd on uplink should be investigated. The range of the differential delay between the time delay between the satellite and the UE, </w:t>
            </w:r>
            <w:r w:rsidRPr="0029659D">
              <w:lastRenderedPageBreak/>
              <w:t xml:space="preserve">and the time delay for the shortest distance between the satellite and a certain beam should also be investigated </w:t>
            </w:r>
          </w:p>
          <w:p w14:paraId="403ED20A" w14:textId="097F30E9" w:rsidR="006E0F36" w:rsidRPr="0029659D" w:rsidRDefault="006E0F36" w:rsidP="00B94F95">
            <w:pPr>
              <w:snapToGrid w:val="0"/>
              <w:spacing w:after="0"/>
            </w:pPr>
            <w:r w:rsidRPr="0029659D">
              <w:t>Observation 2-3: The reason to define “equivalent cell radius” is that, in both LTE and NR for PRACH design, there is important relationship between cell radius and the parameter Ncs</w:t>
            </w:r>
          </w:p>
          <w:p w14:paraId="10DCAB26" w14:textId="6F840C8B" w:rsidR="006E0F36" w:rsidRPr="0029659D" w:rsidRDefault="006E0F36" w:rsidP="00B94F95">
            <w:pPr>
              <w:snapToGrid w:val="0"/>
              <w:spacing w:after="0"/>
            </w:pPr>
            <w:r w:rsidRPr="0029659D">
              <w:t>Observation 2-4: Under pre-compensation, some beams have the largest residual frequency offset on uplink which are greater than +/- 2.5*1.25KHz, for the satellite at 600km orbit</w:t>
            </w:r>
          </w:p>
          <w:p w14:paraId="6AACB426" w14:textId="37E22FA6" w:rsidR="006E0F36" w:rsidRPr="0029659D" w:rsidRDefault="006E0F36" w:rsidP="00B94F95">
            <w:pPr>
              <w:snapToGrid w:val="0"/>
              <w:spacing w:after="0"/>
            </w:pPr>
            <w:r w:rsidRPr="0029659D">
              <w:t>Observation 2-5: The beam with larger elevation angle may have smaller beam diameter and smaller differential delay. However residual frequency offset on uplink for such a beam could be larger than a beam with smaller elevation angle</w:t>
            </w:r>
          </w:p>
          <w:p w14:paraId="45C11C66" w14:textId="7B4AD695" w:rsidR="006E0F36" w:rsidRPr="0029659D" w:rsidRDefault="006E0F36" w:rsidP="00B94F95">
            <w:pPr>
              <w:snapToGrid w:val="0"/>
              <w:spacing w:after="0"/>
            </w:pPr>
            <w:r w:rsidRPr="0029659D">
              <w:t>Observation 2-6: The residual frequency offset is still quite large for the beam with large differential delay (large equivalent cell radius)</w:t>
            </w:r>
          </w:p>
          <w:p w14:paraId="5BB2F961" w14:textId="011705D3" w:rsidR="006E0F36" w:rsidRPr="0029659D" w:rsidRDefault="006E0F36" w:rsidP="00B94F95">
            <w:pPr>
              <w:snapToGrid w:val="0"/>
              <w:spacing w:after="0"/>
            </w:pPr>
            <w:r w:rsidRPr="0029659D">
              <w:t>Observation 3-1: For the relationship between cell radius and Ncs, to reach a given cell radius, the sequence with shorter time period (larger SCS) may require larger Ncs</w:t>
            </w:r>
          </w:p>
          <w:p w14:paraId="6F766D42" w14:textId="6B470E25" w:rsidR="006E0F36" w:rsidRPr="0029659D" w:rsidRDefault="006E0F36" w:rsidP="00B94F95">
            <w:pPr>
              <w:snapToGrid w:val="0"/>
              <w:spacing w:after="0"/>
            </w:pPr>
            <w:r w:rsidRPr="0029659D">
              <w:t>Observation 3-2: When Ncs is larger, the number of orthogonal sequences under a given root index is decreasing</w:t>
            </w:r>
          </w:p>
          <w:p w14:paraId="1DB11F76" w14:textId="1FF69EE0" w:rsidR="006E0F36" w:rsidRPr="0029659D" w:rsidRDefault="006E0F36" w:rsidP="00B94F95">
            <w:pPr>
              <w:snapToGrid w:val="0"/>
              <w:spacing w:after="0"/>
            </w:pPr>
            <w:r w:rsidRPr="0029659D">
              <w:t>Observation 3-3: For the identified residual frequency offset up to +/- 3*1.25KHz, the restriction set A can be applied for SCS=5KHz PRACH sequence</w:t>
            </w:r>
          </w:p>
          <w:p w14:paraId="2D9E0764" w14:textId="5339B8F0" w:rsidR="006E0F36" w:rsidRPr="0029659D" w:rsidRDefault="006E0F36" w:rsidP="00B94F95">
            <w:pPr>
              <w:snapToGrid w:val="0"/>
              <w:spacing w:after="0"/>
            </w:pPr>
            <w:r w:rsidRPr="0029659D">
              <w:t>Observation 3-4: The restriction set A keeps more number of orthogonal sequences than that by restriction set B</w:t>
            </w:r>
          </w:p>
          <w:p w14:paraId="492477F6" w14:textId="6878A68D" w:rsidR="006E0F36" w:rsidRPr="0029659D" w:rsidRDefault="006E0F36" w:rsidP="00B94F95">
            <w:pPr>
              <w:snapToGrid w:val="0"/>
              <w:spacing w:after="0"/>
            </w:pPr>
            <w:r w:rsidRPr="0029659D">
              <w:t>Observation 3-5: Both restriction set A and B can’t be applied to SCS=1.25KHz PRACH under max residual frequency offset +/- 3*1.25KHz</w:t>
            </w:r>
          </w:p>
          <w:p w14:paraId="171AE4A6" w14:textId="77777777" w:rsidR="006E0F36" w:rsidRPr="0029659D" w:rsidRDefault="006E0F36" w:rsidP="00B94F95">
            <w:pPr>
              <w:snapToGrid w:val="0"/>
              <w:spacing w:after="0"/>
            </w:pPr>
            <w:r w:rsidRPr="0029659D">
              <w:t>Observation 3-6: To support a given cell radius, the PRACH sequence with SCS=1.25KHz may utilize smaller Ncs, which may generate a pool with more number of orthogonal sequences. However, under a given maximum frequency offset, a large number of orthogonal sequences could be removed from the pool</w:t>
            </w:r>
          </w:p>
          <w:p w14:paraId="258FFB47" w14:textId="77777777" w:rsidR="006E0F36" w:rsidRPr="0029659D" w:rsidRDefault="006E0F36" w:rsidP="00B94F95">
            <w:pPr>
              <w:snapToGrid w:val="0"/>
              <w:spacing w:after="0"/>
            </w:pPr>
            <w:r w:rsidRPr="0029659D">
              <w:t>Observation 3-7: To support a given cell radius, the PRACH sequence with SCS=5KHz may utilize larger Ncs, which may generate a pool with limited number of orthogonal sequences. However, under a given maximum frequency offset, a smaller number of orthogonal sequences could be removed from the pool</w:t>
            </w:r>
          </w:p>
          <w:p w14:paraId="7E2F192D" w14:textId="77777777" w:rsidR="006E0F36" w:rsidRPr="0029659D" w:rsidRDefault="006E0F36" w:rsidP="00B94F95">
            <w:pPr>
              <w:snapToGrid w:val="0"/>
              <w:spacing w:after="0"/>
            </w:pPr>
            <w:r w:rsidRPr="0029659D">
              <w:t>Observation 3-8: Under +/- 3*1.25KHz frequency offset and under same cell radius, the remaining number of valid cyclic shifts for SCS=1.25KHz PRACH by using a new restriction set is still greater than that by the SCS=5KHz PRACH under existing restriction set A</w:t>
            </w:r>
          </w:p>
          <w:p w14:paraId="5E1CE38A" w14:textId="77777777" w:rsidR="006E0F36" w:rsidRPr="0029659D" w:rsidRDefault="006E0F36" w:rsidP="00B94F95">
            <w:pPr>
              <w:snapToGrid w:val="0"/>
              <w:spacing w:after="0"/>
            </w:pPr>
            <w:r w:rsidRPr="0029659D">
              <w:t>Definition 2-1: Define “equivalent cell radius” as the longest distance between a beam and satellite – the shortest distance between a beam and satellite. Hence the equivalent cell radius is equal to the maximum differential delay times the light speed</w:t>
            </w:r>
          </w:p>
          <w:p w14:paraId="0661A01D" w14:textId="77777777" w:rsidR="006E0F36" w:rsidRPr="0029659D" w:rsidRDefault="006E0F36" w:rsidP="00B94F95">
            <w:pPr>
              <w:snapToGrid w:val="0"/>
              <w:spacing w:after="0"/>
            </w:pPr>
            <w:r w:rsidRPr="0029659D">
              <w:t>Proposal 2-1: The maximum residual frequency offset on uplink could be up to +/- 3*1.25KHz as the design consideration</w:t>
            </w:r>
          </w:p>
          <w:p w14:paraId="6FB02B08" w14:textId="77777777" w:rsidR="006E0F36" w:rsidRPr="0029659D" w:rsidRDefault="006E0F36" w:rsidP="00B94F95">
            <w:pPr>
              <w:snapToGrid w:val="0"/>
              <w:spacing w:after="0"/>
            </w:pPr>
            <w:r w:rsidRPr="0029659D">
              <w:t>Proposal 3-1: We expect to trigger the following discussions for PRACH design under NTN</w:t>
            </w:r>
          </w:p>
          <w:p w14:paraId="546FCFDC" w14:textId="77777777" w:rsidR="006E0F36" w:rsidRPr="0029659D" w:rsidRDefault="006E0F36" w:rsidP="00207430">
            <w:pPr>
              <w:pStyle w:val="ListParagraph"/>
              <w:widowControl w:val="0"/>
              <w:numPr>
                <w:ilvl w:val="0"/>
                <w:numId w:val="19"/>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Whether a new restriction set for handling +/- 3*1.25KHz frequency offset could be considered for SCS=1.25KHz PRACH, If the orthogonal sequences for PRACH transmission are still preferred</w:t>
            </w:r>
          </w:p>
          <w:p w14:paraId="608611CC" w14:textId="77777777" w:rsidR="006E0F36" w:rsidRPr="0029659D" w:rsidRDefault="006E0F36" w:rsidP="00207430">
            <w:pPr>
              <w:pStyle w:val="ListParagraph"/>
              <w:widowControl w:val="0"/>
              <w:numPr>
                <w:ilvl w:val="0"/>
                <w:numId w:val="19"/>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Whether the preamble format with SCS=2.5KHz could be considered since the supported equivalent cell radius (maximum differential delay) may be larger than that by SCS=5KHz, for orthogonal sequence generation</w:t>
            </w:r>
          </w:p>
          <w:p w14:paraId="1265A803" w14:textId="77777777" w:rsidR="006E0F36" w:rsidRPr="0029659D" w:rsidRDefault="006E0F36" w:rsidP="00207430">
            <w:pPr>
              <w:pStyle w:val="ListParagraph"/>
              <w:widowControl w:val="0"/>
              <w:numPr>
                <w:ilvl w:val="0"/>
                <w:numId w:val="19"/>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 xml:space="preserve">Or, We just live with the current design of Rel-15 PRACH on this aspect </w:t>
            </w:r>
          </w:p>
          <w:p w14:paraId="7B0BF464" w14:textId="77777777" w:rsidR="00DF3183" w:rsidRPr="0029659D" w:rsidRDefault="00DF3183" w:rsidP="00B94F95">
            <w:pPr>
              <w:snapToGrid w:val="0"/>
              <w:spacing w:after="0"/>
            </w:pPr>
          </w:p>
        </w:tc>
      </w:tr>
      <w:tr w:rsidR="00DF3183" w:rsidRPr="0029659D" w14:paraId="3FF72CAE" w14:textId="77777777" w:rsidTr="009F01EA">
        <w:trPr>
          <w:trHeight w:val="400"/>
          <w:jc w:val="center"/>
        </w:trPr>
        <w:tc>
          <w:tcPr>
            <w:tcW w:w="0" w:type="auto"/>
            <w:shd w:val="clear" w:color="auto" w:fill="auto"/>
            <w:vAlign w:val="center"/>
            <w:hideMark/>
          </w:tcPr>
          <w:p w14:paraId="1CF26268" w14:textId="7EE18E35" w:rsidR="009F01EA" w:rsidRPr="0029659D" w:rsidRDefault="0055630A" w:rsidP="00B94F95">
            <w:pPr>
              <w:snapToGrid w:val="0"/>
              <w:spacing w:after="0"/>
              <w:jc w:val="center"/>
            </w:pPr>
            <w:hyperlink r:id="rId12" w:history="1">
              <w:r w:rsidR="00DF3183" w:rsidRPr="0029659D">
                <w:t>R1-1908049</w:t>
              </w:r>
            </w:hyperlink>
          </w:p>
          <w:p w14:paraId="74C68BC5" w14:textId="19B5E32F" w:rsidR="00DF3183" w:rsidRPr="0029659D" w:rsidRDefault="00DF3183" w:rsidP="00B94F95">
            <w:pPr>
              <w:snapToGrid w:val="0"/>
              <w:spacing w:after="0"/>
              <w:jc w:val="center"/>
            </w:pPr>
            <w:r w:rsidRPr="0029659D">
              <w:t>HW, CAICT</w:t>
            </w:r>
          </w:p>
        </w:tc>
        <w:tc>
          <w:tcPr>
            <w:tcW w:w="0" w:type="auto"/>
            <w:vAlign w:val="center"/>
          </w:tcPr>
          <w:p w14:paraId="2801BDD6"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1: The PSS detection rates of SCS15kHz and SCS30kHz are almost the same under the considered fading channels.</w:t>
            </w:r>
          </w:p>
          <w:p w14:paraId="65DC9434" w14:textId="77777777" w:rsidR="006E0F36" w:rsidRPr="0029659D" w:rsidRDefault="006E0F36" w:rsidP="00B94F95">
            <w:pPr>
              <w:snapToGrid w:val="0"/>
              <w:spacing w:after="0"/>
            </w:pPr>
            <w:r w:rsidRPr="0029659D">
              <w:t>Observation 2: The PSS detection rates of SCS120kHz and SCS240kHz are almost the same under the considered fading channels.</w:t>
            </w:r>
          </w:p>
          <w:p w14:paraId="5A2E8A72" w14:textId="77777777" w:rsidR="006E0F36" w:rsidRPr="0029659D" w:rsidRDefault="006E0F36" w:rsidP="00B94F95">
            <w:pPr>
              <w:widowControl w:val="0"/>
              <w:snapToGrid w:val="0"/>
              <w:spacing w:after="0"/>
            </w:pPr>
            <w:r w:rsidRPr="0029659D">
              <w:t>Observation 3: The SNR points corresponding to 90% likelihood for all SSB numerologies are about -5dB for the considered fading channels.</w:t>
            </w:r>
          </w:p>
          <w:p w14:paraId="46822569" w14:textId="77777777" w:rsidR="006E0F36" w:rsidRPr="0029659D" w:rsidRDefault="006E0F36" w:rsidP="00B94F95">
            <w:pPr>
              <w:snapToGrid w:val="0"/>
              <w:spacing w:after="0"/>
            </w:pPr>
            <w:r w:rsidRPr="0029659D">
              <w:t>Observation 4: The relative residual frequency offset (normalized by SCS) of different SSB numerologies are almost the same under the considered fading channels.</w:t>
            </w:r>
          </w:p>
          <w:p w14:paraId="09E1F980" w14:textId="77777777" w:rsidR="006E0F36" w:rsidRPr="0029659D" w:rsidRDefault="006E0F36" w:rsidP="00B94F95">
            <w:pPr>
              <w:snapToGrid w:val="0"/>
              <w:spacing w:after="0"/>
            </w:pPr>
            <w:r w:rsidRPr="0029659D">
              <w:t>Observation 5: The absolute residual frequency offset increases as the SSB SCS increases.</w:t>
            </w:r>
          </w:p>
          <w:p w14:paraId="3D2D5A7F" w14:textId="77777777" w:rsidR="006E0F36" w:rsidRPr="0029659D" w:rsidRDefault="006E0F36" w:rsidP="00B94F95">
            <w:pPr>
              <w:snapToGrid w:val="0"/>
              <w:spacing w:after="0"/>
            </w:pPr>
            <w:r w:rsidRPr="0029659D">
              <w:t>Observation 6: About 90% the residual frequency offset can be controlled within0.03SCS.</w:t>
            </w:r>
          </w:p>
          <w:p w14:paraId="0FF5A06B" w14:textId="77777777" w:rsidR="006E0F36" w:rsidRPr="0029659D" w:rsidRDefault="006E0F36" w:rsidP="00B94F95">
            <w:pPr>
              <w:snapToGrid w:val="0"/>
              <w:spacing w:after="0"/>
            </w:pPr>
            <w:r w:rsidRPr="0029659D">
              <w:t>Observation 7: The PSS-SSS based method can provide better frequency tracking performance than the PBCH-DMRS based method.</w:t>
            </w:r>
          </w:p>
          <w:p w14:paraId="5D17DA06" w14:textId="77777777" w:rsidR="006E0F36" w:rsidRPr="0029659D" w:rsidRDefault="006E0F36" w:rsidP="00B94F95">
            <w:pPr>
              <w:snapToGrid w:val="0"/>
              <w:spacing w:after="0"/>
            </w:pPr>
            <w:r w:rsidRPr="0029659D">
              <w:t>Observation 8: The absolute timing residual offset reduces as the SSB SCS increases.</w:t>
            </w:r>
          </w:p>
          <w:p w14:paraId="7713F803" w14:textId="77777777" w:rsidR="006E0F36" w:rsidRPr="0029659D" w:rsidRDefault="006E0F36" w:rsidP="00B94F95">
            <w:pPr>
              <w:snapToGrid w:val="0"/>
              <w:spacing w:after="0"/>
            </w:pPr>
            <w:r w:rsidRPr="0029659D">
              <w:lastRenderedPageBreak/>
              <w:t>Observation 9: The PSS-SSS based method can provide better timing tracking performance than the SSB-DMRS based method.</w:t>
            </w:r>
          </w:p>
          <w:p w14:paraId="541E7124" w14:textId="77777777" w:rsidR="006E0F36" w:rsidRPr="0029659D" w:rsidRDefault="006E0F36" w:rsidP="00B94F95">
            <w:pPr>
              <w:pStyle w:val="Default"/>
              <w:snapToGrid w:val="0"/>
              <w:jc w:val="both"/>
              <w:rPr>
                <w:color w:val="auto"/>
                <w:sz w:val="20"/>
                <w:szCs w:val="20"/>
                <w:lang w:val="en-GB" w:eastAsia="en-US"/>
              </w:rPr>
            </w:pPr>
            <w:r w:rsidRPr="0029659D">
              <w:rPr>
                <w:color w:val="auto"/>
                <w:sz w:val="20"/>
                <w:szCs w:val="20"/>
                <w:lang w:val="en-GB" w:eastAsia="en-US"/>
              </w:rPr>
              <w:t>Observation 10: A UE needs to adjust the timing point autonomously between two pilot signals to avoid possible ISI due to DL timing drift in LEO.</w:t>
            </w:r>
          </w:p>
          <w:p w14:paraId="2EE75B34" w14:textId="77777777" w:rsidR="006E0F36" w:rsidRPr="0029659D" w:rsidRDefault="006E0F36" w:rsidP="00B94F95">
            <w:pPr>
              <w:pStyle w:val="Default"/>
              <w:snapToGrid w:val="0"/>
              <w:jc w:val="both"/>
              <w:rPr>
                <w:color w:val="auto"/>
                <w:sz w:val="20"/>
                <w:szCs w:val="20"/>
                <w:lang w:val="en-GB" w:eastAsia="en-US"/>
              </w:rPr>
            </w:pPr>
            <w:r w:rsidRPr="0029659D">
              <w:rPr>
                <w:color w:val="auto"/>
                <w:sz w:val="20"/>
                <w:szCs w:val="20"/>
                <w:lang w:val="en-GB" w:eastAsia="en-US"/>
              </w:rPr>
              <w:t>Observation 11: A UE needs to compensate the phase change within a slot due to DL timing drift to ease low complexity channel estimation and equalizer.</w:t>
            </w:r>
          </w:p>
          <w:p w14:paraId="7CA2ADA8" w14:textId="77777777" w:rsidR="006E0F36" w:rsidRPr="0029659D" w:rsidRDefault="006E0F36" w:rsidP="00B94F95">
            <w:pPr>
              <w:snapToGrid w:val="0"/>
              <w:spacing w:after="0"/>
            </w:pPr>
            <w:r w:rsidRPr="0029659D">
              <w:t>Observation 12: It is necessary to acquire DL timing drift rate to avoid potential ISI and compensate phase change.</w:t>
            </w:r>
          </w:p>
          <w:p w14:paraId="07ED0916" w14:textId="77777777" w:rsidR="006E0F36" w:rsidRPr="0029659D" w:rsidRDefault="006E0F36" w:rsidP="00B94F95">
            <w:pPr>
              <w:snapToGrid w:val="0"/>
              <w:spacing w:after="0"/>
            </w:pPr>
            <w:r w:rsidRPr="0029659D">
              <w:t>Observation 13: Aligned to the frequency of DL signal, the UL frequency misalignment at the BS side is double the (residual) Doppler shift.</w:t>
            </w:r>
          </w:p>
          <w:p w14:paraId="2B8238A1" w14:textId="77777777" w:rsidR="006E0F36" w:rsidRPr="0029659D" w:rsidRDefault="006E0F36" w:rsidP="00B94F95">
            <w:pPr>
              <w:snapToGrid w:val="0"/>
              <w:spacing w:after="0"/>
            </w:pPr>
            <w:r w:rsidRPr="0029659D">
              <w:t>Observation 14: With the UL frequency pre-compensation at the UE side, the UL frequency misalignment at the BS side is double the oscillator errors.</w:t>
            </w:r>
          </w:p>
          <w:p w14:paraId="3DC355B3" w14:textId="77777777" w:rsidR="006E0F36" w:rsidRPr="0029659D" w:rsidRDefault="006E0F36" w:rsidP="00B94F95">
            <w:pPr>
              <w:snapToGrid w:val="0"/>
              <w:spacing w:after="0"/>
            </w:pPr>
            <w:r w:rsidRPr="0029659D">
              <w:t>Observation 15: The UL frequency offset in LEO is a challenge for RACH.</w:t>
            </w:r>
          </w:p>
          <w:p w14:paraId="09BB8C5F" w14:textId="77777777" w:rsidR="006E0F36" w:rsidRPr="0029659D" w:rsidRDefault="006E0F36" w:rsidP="00B94F95">
            <w:pPr>
              <w:snapToGrid w:val="0"/>
              <w:spacing w:after="0"/>
            </w:pPr>
            <w:r w:rsidRPr="0029659D">
              <w:t>Observation 16: In the closed-loop method, the full common TA can be broadcasted by the gNB in both regenerative satellite and transparent satellite scenarios.</w:t>
            </w:r>
          </w:p>
          <w:p w14:paraId="7B04D1E7" w14:textId="77777777" w:rsidR="006E0F36" w:rsidRPr="0029659D" w:rsidRDefault="006E0F36" w:rsidP="00B94F95">
            <w:pPr>
              <w:snapToGrid w:val="0"/>
              <w:spacing w:after="0"/>
            </w:pPr>
            <w:r w:rsidRPr="0029659D">
              <w:t xml:space="preserve">Observation 17: In the closed-loop method, the partial common TA can be broadcasted and the residual delay can be compensated by the gNB. </w:t>
            </w:r>
          </w:p>
          <w:p w14:paraId="02F5905F" w14:textId="77777777" w:rsidR="006E0F36" w:rsidRPr="0029659D" w:rsidRDefault="006E0F36" w:rsidP="00B94F95">
            <w:pPr>
              <w:snapToGrid w:val="0"/>
              <w:spacing w:after="0"/>
            </w:pPr>
            <w:r w:rsidRPr="0029659D">
              <w:t xml:space="preserve">Observation 18: In the open-loop method, the UE can calculate the TA for transmitting preamble according to its position and the satellite ephemeris. </w:t>
            </w:r>
          </w:p>
          <w:p w14:paraId="21B02CF5" w14:textId="5C1F76BD" w:rsidR="006E0F36" w:rsidRPr="0029659D" w:rsidRDefault="006E0F36" w:rsidP="00B94F95">
            <w:pPr>
              <w:snapToGrid w:val="0"/>
              <w:spacing w:after="0"/>
            </w:pPr>
            <w:r w:rsidRPr="0029659D">
              <w:t xml:space="preserve">Observation 19: The extended initial TA with the scaling factor </w:t>
            </w:r>
            <w:r w:rsidRPr="0029659D">
              <w:rPr>
                <w:noProof/>
                <w:lang w:val="en-US" w:eastAsia="zh-CN"/>
              </w:rPr>
              <w:drawing>
                <wp:inline distT="0" distB="0" distL="0" distR="0" wp14:anchorId="39EF2F98" wp14:editId="4EC7A55B">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9659D">
              <w:t xml:space="preserve"> may not meet the timing accuracy requirement, especially for large SCS used in FR2.</w:t>
            </w:r>
          </w:p>
          <w:p w14:paraId="7EB97F6E" w14:textId="77777777" w:rsidR="006E0F36" w:rsidRPr="0029659D" w:rsidRDefault="006E0F36" w:rsidP="00B94F95">
            <w:pPr>
              <w:snapToGrid w:val="0"/>
              <w:spacing w:after="0"/>
            </w:pPr>
            <w:r w:rsidRPr="0029659D">
              <w:t>Observation 20: Since the accuracy of positioning worsens in some cases, open-loop TA adjustment mechanism based on UE GNSS and satellite ephemeris may not meet the TA adjustment accuracy requirement in certain cases.</w:t>
            </w:r>
          </w:p>
          <w:p w14:paraId="2D5A9A4B" w14:textId="77777777" w:rsidR="006E0F36" w:rsidRPr="0029659D" w:rsidRDefault="006E0F36" w:rsidP="00B94F95">
            <w:pPr>
              <w:snapToGrid w:val="0"/>
              <w:spacing w:after="0"/>
            </w:pPr>
            <w:r w:rsidRPr="0029659D">
              <w:t>Observation 21: To maintain the uplink time synchronization, gNB has to frequently send TA adjustment commands to each UE in LEO scenarios, which will introduce increased signaling overhead to the system.</w:t>
            </w:r>
          </w:p>
          <w:p w14:paraId="07DE087D" w14:textId="77777777" w:rsidR="006E0F36" w:rsidRPr="0029659D" w:rsidRDefault="006E0F36" w:rsidP="00B94F95">
            <w:pPr>
              <w:snapToGrid w:val="0"/>
              <w:spacing w:after="0"/>
            </w:pPr>
            <w:r w:rsidRPr="0029659D">
              <w:t>Observation 22: Compared with sending TA commands frequently to the UE, signaling overhead can be greatly reduced if the UE is able to update the TA by itself.</w:t>
            </w:r>
          </w:p>
          <w:p w14:paraId="6BF863B2" w14:textId="77777777" w:rsidR="006E0F36" w:rsidRPr="0029659D" w:rsidRDefault="006E0F36" w:rsidP="00B94F95">
            <w:pPr>
              <w:snapToGrid w:val="0"/>
              <w:spacing w:after="0"/>
            </w:pPr>
            <w:r w:rsidRPr="0029659D">
              <w:t>Observation 23: There is no Rel-15 preamble format whose CP length is sufficient for all NTN scenarios.</w:t>
            </w:r>
          </w:p>
          <w:p w14:paraId="33159E06" w14:textId="77777777" w:rsidR="006E0F36" w:rsidRPr="0029659D" w:rsidRDefault="006E0F36" w:rsidP="00B94F95">
            <w:pPr>
              <w:snapToGrid w:val="0"/>
              <w:spacing w:after="0"/>
            </w:pPr>
            <w:r w:rsidRPr="0029659D">
              <w:t>Observation 24: From the perspective of limiting scenarios, increasing the supported minimum elevation angle or decreasing the supported maximum beam diameter can reduce the requirement of the preamble CP length.</w:t>
            </w:r>
          </w:p>
          <w:p w14:paraId="5F5C177B" w14:textId="77777777" w:rsidR="006E0F36" w:rsidRPr="0029659D" w:rsidRDefault="006E0F36" w:rsidP="00B94F95">
            <w:pPr>
              <w:snapToGrid w:val="0"/>
              <w:spacing w:after="0"/>
            </w:pPr>
            <w:r w:rsidRPr="0029659D">
              <w:t>Observation 25: The possible supported minimum elevation angles of different specific beams by Rel-15 preamble format 1 CP length are listed below:</w:t>
            </w:r>
          </w:p>
          <w:tbl>
            <w:tblPr>
              <w:tblStyle w:val="TableGrid"/>
              <w:tblW w:w="5000" w:type="pct"/>
              <w:jc w:val="center"/>
              <w:tblLook w:val="04A0" w:firstRow="1" w:lastRow="0" w:firstColumn="1" w:lastColumn="0" w:noHBand="0" w:noVBand="1"/>
            </w:tblPr>
            <w:tblGrid>
              <w:gridCol w:w="794"/>
              <w:gridCol w:w="1274"/>
              <w:gridCol w:w="1212"/>
              <w:gridCol w:w="1233"/>
              <w:gridCol w:w="1361"/>
              <w:gridCol w:w="1335"/>
              <w:gridCol w:w="1397"/>
            </w:tblGrid>
            <w:tr w:rsidR="006E0F36" w:rsidRPr="0029659D" w14:paraId="42F81A70" w14:textId="77777777" w:rsidTr="007152C7">
              <w:trPr>
                <w:jc w:val="center"/>
              </w:trPr>
              <w:tc>
                <w:tcPr>
                  <w:tcW w:w="446" w:type="pct"/>
                  <w:vMerge w:val="restart"/>
                  <w:vAlign w:val="center"/>
                </w:tcPr>
                <w:p w14:paraId="6AFDB893"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Format</w:t>
                  </w:r>
                </w:p>
              </w:tc>
              <w:tc>
                <w:tcPr>
                  <w:tcW w:w="4554" w:type="pct"/>
                  <w:gridSpan w:val="6"/>
                  <w:vAlign w:val="center"/>
                </w:tcPr>
                <w:p w14:paraId="229ED903"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Supported minimum elevation angle of beam (degree)</w:t>
                  </w:r>
                </w:p>
              </w:tc>
            </w:tr>
            <w:tr w:rsidR="006E0F36" w:rsidRPr="0029659D" w14:paraId="4BD003B2" w14:textId="77777777" w:rsidTr="007152C7">
              <w:trPr>
                <w:jc w:val="center"/>
              </w:trPr>
              <w:tc>
                <w:tcPr>
                  <w:tcW w:w="446" w:type="pct"/>
                  <w:vMerge/>
                  <w:vAlign w:val="center"/>
                </w:tcPr>
                <w:p w14:paraId="431B0611" w14:textId="77777777" w:rsidR="006E0F36" w:rsidRPr="0029659D" w:rsidRDefault="006E0F36" w:rsidP="00B94F95">
                  <w:pPr>
                    <w:snapToGrid w:val="0"/>
                    <w:spacing w:before="0" w:after="0" w:line="240" w:lineRule="auto"/>
                    <w:jc w:val="center"/>
                    <w:rPr>
                      <w:rFonts w:ascii="Times New Roman" w:hAnsi="Times New Roman"/>
                    </w:rPr>
                  </w:pPr>
                </w:p>
              </w:tc>
              <w:tc>
                <w:tcPr>
                  <w:tcW w:w="1450" w:type="pct"/>
                  <w:gridSpan w:val="2"/>
                  <w:vAlign w:val="center"/>
                </w:tcPr>
                <w:p w14:paraId="7EC489AC"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GEO</w:t>
                  </w:r>
                </w:p>
              </w:tc>
              <w:tc>
                <w:tcPr>
                  <w:tcW w:w="1512" w:type="pct"/>
                  <w:gridSpan w:val="2"/>
                  <w:vAlign w:val="center"/>
                </w:tcPr>
                <w:p w14:paraId="54E280F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LEO-1200</w:t>
                  </w:r>
                </w:p>
              </w:tc>
              <w:tc>
                <w:tcPr>
                  <w:tcW w:w="1592" w:type="pct"/>
                  <w:gridSpan w:val="2"/>
                  <w:vAlign w:val="center"/>
                </w:tcPr>
                <w:p w14:paraId="107AA31B"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LEO-600</w:t>
                  </w:r>
                </w:p>
              </w:tc>
            </w:tr>
            <w:tr w:rsidR="006E0F36" w:rsidRPr="0029659D" w14:paraId="5168EA94" w14:textId="77777777" w:rsidTr="007152C7">
              <w:trPr>
                <w:jc w:val="center"/>
              </w:trPr>
              <w:tc>
                <w:tcPr>
                  <w:tcW w:w="446" w:type="pct"/>
                  <w:vMerge/>
                  <w:vAlign w:val="center"/>
                </w:tcPr>
                <w:p w14:paraId="062AA90C" w14:textId="77777777" w:rsidR="006E0F36" w:rsidRPr="0029659D" w:rsidRDefault="006E0F36" w:rsidP="00B94F95">
                  <w:pPr>
                    <w:snapToGrid w:val="0"/>
                    <w:spacing w:before="0" w:after="0" w:line="240" w:lineRule="auto"/>
                    <w:jc w:val="center"/>
                    <w:rPr>
                      <w:rFonts w:ascii="Times New Roman" w:hAnsi="Times New Roman"/>
                    </w:rPr>
                  </w:pPr>
                </w:p>
              </w:tc>
              <w:tc>
                <w:tcPr>
                  <w:tcW w:w="743" w:type="pct"/>
                  <w:vAlign w:val="center"/>
                </w:tcPr>
                <w:p w14:paraId="2DA3DB9F"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D=200 km</w:t>
                  </w:r>
                </w:p>
              </w:tc>
              <w:tc>
                <w:tcPr>
                  <w:tcW w:w="707" w:type="pct"/>
                  <w:vAlign w:val="center"/>
                </w:tcPr>
                <w:p w14:paraId="022D2753"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D=400 km</w:t>
                  </w:r>
                </w:p>
              </w:tc>
              <w:tc>
                <w:tcPr>
                  <w:tcW w:w="719" w:type="pct"/>
                  <w:vAlign w:val="center"/>
                </w:tcPr>
                <w:p w14:paraId="194A565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D=100 km</w:t>
                  </w:r>
                </w:p>
              </w:tc>
              <w:tc>
                <w:tcPr>
                  <w:tcW w:w="793" w:type="pct"/>
                  <w:vAlign w:val="center"/>
                </w:tcPr>
                <w:p w14:paraId="53DF5AD7"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D=300 km</w:t>
                  </w:r>
                </w:p>
              </w:tc>
              <w:tc>
                <w:tcPr>
                  <w:tcW w:w="778" w:type="pct"/>
                  <w:vAlign w:val="center"/>
                </w:tcPr>
                <w:p w14:paraId="3AACD807"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D=100 km</w:t>
                  </w:r>
                </w:p>
              </w:tc>
              <w:tc>
                <w:tcPr>
                  <w:tcW w:w="814" w:type="pct"/>
                  <w:vAlign w:val="center"/>
                </w:tcPr>
                <w:p w14:paraId="13E849EE"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D=200 km</w:t>
                  </w:r>
                </w:p>
              </w:tc>
            </w:tr>
            <w:tr w:rsidR="006E0F36" w:rsidRPr="0029659D" w14:paraId="4E3BDCF1" w14:textId="77777777" w:rsidTr="007152C7">
              <w:trPr>
                <w:jc w:val="center"/>
              </w:trPr>
              <w:tc>
                <w:tcPr>
                  <w:tcW w:w="446" w:type="pct"/>
                  <w:vAlign w:val="center"/>
                </w:tcPr>
                <w:p w14:paraId="40FC15AB"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1</w:t>
                  </w:r>
                </w:p>
              </w:tc>
              <w:tc>
                <w:tcPr>
                  <w:tcW w:w="743" w:type="pct"/>
                  <w:vAlign w:val="center"/>
                </w:tcPr>
                <w:p w14:paraId="21D81C2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59</w:t>
                  </w:r>
                </w:p>
              </w:tc>
              <w:tc>
                <w:tcPr>
                  <w:tcW w:w="707" w:type="pct"/>
                  <w:vAlign w:val="center"/>
                </w:tcPr>
                <w:p w14:paraId="7ABD1EF7"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74</w:t>
                  </w:r>
                </w:p>
              </w:tc>
              <w:tc>
                <w:tcPr>
                  <w:tcW w:w="719" w:type="pct"/>
                  <w:vAlign w:val="center"/>
                </w:tcPr>
                <w:p w14:paraId="4459F446"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10</w:t>
                  </w:r>
                </w:p>
              </w:tc>
              <w:tc>
                <w:tcPr>
                  <w:tcW w:w="793" w:type="pct"/>
                  <w:vAlign w:val="center"/>
                </w:tcPr>
                <w:p w14:paraId="49FCF5B9"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63</w:t>
                  </w:r>
                </w:p>
              </w:tc>
              <w:tc>
                <w:tcPr>
                  <w:tcW w:w="778" w:type="pct"/>
                  <w:vAlign w:val="center"/>
                </w:tcPr>
                <w:p w14:paraId="086BA150"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10</w:t>
                  </w:r>
                </w:p>
              </w:tc>
              <w:tc>
                <w:tcPr>
                  <w:tcW w:w="814" w:type="pct"/>
                  <w:vAlign w:val="center"/>
                </w:tcPr>
                <w:p w14:paraId="24182B24" w14:textId="77777777" w:rsidR="006E0F36" w:rsidRPr="0029659D" w:rsidRDefault="006E0F36" w:rsidP="00B94F95">
                  <w:pPr>
                    <w:snapToGrid w:val="0"/>
                    <w:spacing w:before="0" w:after="0" w:line="240" w:lineRule="auto"/>
                    <w:jc w:val="center"/>
                    <w:rPr>
                      <w:rFonts w:ascii="Times New Roman" w:hAnsi="Times New Roman"/>
                    </w:rPr>
                  </w:pPr>
                  <w:r w:rsidRPr="0029659D">
                    <w:rPr>
                      <w:rFonts w:ascii="Times New Roman" w:hAnsi="Times New Roman"/>
                    </w:rPr>
                    <w:t>52</w:t>
                  </w:r>
                </w:p>
              </w:tc>
            </w:tr>
          </w:tbl>
          <w:p w14:paraId="6997F3B9" w14:textId="77777777" w:rsidR="006E0F36" w:rsidRPr="0029659D" w:rsidRDefault="006E0F36" w:rsidP="00B94F95">
            <w:pPr>
              <w:snapToGrid w:val="0"/>
              <w:spacing w:after="0"/>
            </w:pPr>
            <w:r w:rsidRPr="0029659D">
              <w:t>Observation 26: The possible supported maximum beam diameter of different specific beams by Rel-15 preamble format 1 CP length are 104.39 km (GEO, MEA=10 degree), 120.33 km (LEO-1200, MEA=30 degree) and 121.47 km (LEO-600, MEA=30 degree).</w:t>
            </w:r>
          </w:p>
          <w:p w14:paraId="056DE8D0" w14:textId="77777777" w:rsidR="006E0F36" w:rsidRPr="0029659D" w:rsidRDefault="006E0F36" w:rsidP="00B94F95">
            <w:pPr>
              <w:snapToGrid w:val="0"/>
              <w:spacing w:after="0"/>
            </w:pPr>
            <w:r w:rsidRPr="0029659D">
              <w:t>Observation 27: Utilizing a positioning method can reduce the requirement for the preamble CP length.</w:t>
            </w:r>
          </w:p>
          <w:p w14:paraId="6489168D" w14:textId="77777777" w:rsidR="006E0F36" w:rsidRPr="0029659D" w:rsidRDefault="006E0F36" w:rsidP="00B94F95">
            <w:pPr>
              <w:snapToGrid w:val="0"/>
              <w:spacing w:after="0"/>
            </w:pPr>
            <w:r w:rsidRPr="0029659D">
              <w:t>Observation 28: From the perspective of implementation, utilizing the multiple detection method can reduce the requirement for the preamble CP length.</w:t>
            </w:r>
          </w:p>
          <w:p w14:paraId="7A3318C1"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29: Without consideration of frequency offset, phase noise and CP length,</w:t>
            </w:r>
          </w:p>
          <w:p w14:paraId="154995C8"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R-15 long preamble formats may work in the S band for LEO-1200 (30 degree) scenarios with respect to SNR.</w:t>
            </w:r>
          </w:p>
          <w:p w14:paraId="4303E243"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some of R-15 short preamble formats may work in the S band for LEO-1200 (30 degree) scenarios with respect to SNR.</w:t>
            </w:r>
          </w:p>
          <w:p w14:paraId="070BFE8F"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except for the format 3, R-15 long preamble formats may work in the S band for GEO (10 degree) scenarios with respect to SNR.</w:t>
            </w:r>
          </w:p>
          <w:p w14:paraId="72315BBC"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R-15 short preamble formats cannot work in the S band for GEO (10 degree) scenarios with respect to SNR.</w:t>
            </w:r>
          </w:p>
          <w:p w14:paraId="6A992671" w14:textId="77777777" w:rsidR="006E0F36" w:rsidRPr="0029659D" w:rsidRDefault="006E0F36" w:rsidP="00207430">
            <w:pPr>
              <w:pStyle w:val="Eqn"/>
              <w:numPr>
                <w:ilvl w:val="0"/>
                <w:numId w:val="20"/>
              </w:numPr>
              <w:spacing w:after="0"/>
              <w:ind w:left="709" w:hanging="284"/>
              <w:rPr>
                <w:sz w:val="20"/>
                <w:szCs w:val="20"/>
                <w:lang w:val="en-GB" w:eastAsia="en-US"/>
              </w:rPr>
            </w:pPr>
            <w:r w:rsidRPr="0029659D">
              <w:rPr>
                <w:sz w:val="20"/>
                <w:szCs w:val="20"/>
                <w:lang w:val="en-GB" w:eastAsia="en-US"/>
              </w:rPr>
              <w:t>R-15 short preamble formats may work in the Ka band for LEO (30 degree) and GEO (10 degree) scenarios with respect to SNR.</w:t>
            </w:r>
          </w:p>
          <w:p w14:paraId="1064B3AA" w14:textId="77777777" w:rsidR="006E0F36" w:rsidRPr="0029659D" w:rsidRDefault="006E0F36" w:rsidP="00B94F95">
            <w:pPr>
              <w:pStyle w:val="Eqn"/>
              <w:spacing w:after="0"/>
              <w:rPr>
                <w:sz w:val="20"/>
                <w:szCs w:val="20"/>
                <w:lang w:val="en-GB" w:eastAsia="en-US"/>
              </w:rPr>
            </w:pPr>
            <w:r w:rsidRPr="0029659D">
              <w:rPr>
                <w:sz w:val="20"/>
                <w:szCs w:val="20"/>
                <w:lang w:val="en-GB" w:eastAsia="en-US"/>
              </w:rPr>
              <w:lastRenderedPageBreak/>
              <w:t>Observation 30: Considering the residual UL frequency offset, LEO-1200 (D=90 km) and LEO-600 (D=50 km) scenarios in Ka band cannot be supported by existing Rel-15 preambles.</w:t>
            </w:r>
          </w:p>
          <w:p w14:paraId="024D48D8"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31: To provide higher robustness to UL frequency offset, higher preamble SCS is preferred.</w:t>
            </w:r>
          </w:p>
          <w:p w14:paraId="69F02FE7" w14:textId="77777777" w:rsidR="006E0F36" w:rsidRPr="0029659D" w:rsidRDefault="006E0F36" w:rsidP="00B94F95">
            <w:pPr>
              <w:pStyle w:val="Eqn"/>
              <w:spacing w:after="0"/>
              <w:rPr>
                <w:sz w:val="20"/>
                <w:szCs w:val="20"/>
                <w:lang w:val="en-GB" w:eastAsia="en-US"/>
              </w:rPr>
            </w:pPr>
            <w:r w:rsidRPr="0029659D">
              <w:rPr>
                <w:sz w:val="20"/>
                <w:szCs w:val="20"/>
                <w:lang w:val="en-GB" w:eastAsia="en-US"/>
              </w:rPr>
              <w:t>Observation 32: Increasing the CP and GT lengths and the repetition number of preamble sequences may be considered for enhancing the preamble transmission in NTN.</w:t>
            </w:r>
          </w:p>
          <w:p w14:paraId="3E6A9BEB" w14:textId="77777777" w:rsidR="006E0F36" w:rsidRPr="0029659D" w:rsidRDefault="006E0F36" w:rsidP="00B94F95">
            <w:pPr>
              <w:snapToGrid w:val="0"/>
              <w:spacing w:after="0"/>
            </w:pPr>
            <w:r w:rsidRPr="0029659D">
              <w:t>Observation 33: With simple repetition method to extend the CP and preamble sequences lengths, it is not possible to find the exact boundary between the CP and preamble sequences.</w:t>
            </w:r>
          </w:p>
          <w:p w14:paraId="1AEC5F8A" w14:textId="77777777" w:rsidR="006E0F36" w:rsidRPr="0029659D" w:rsidRDefault="006E0F36" w:rsidP="00B94F95">
            <w:pPr>
              <w:snapToGrid w:val="0"/>
              <w:spacing w:after="0"/>
            </w:pPr>
            <w:r w:rsidRPr="0029659D">
              <w:t>Observation 34: The delay for MSG3 on PUSCH and HARQ-ACK of MSG4 on PUCCH is insufficient.</w:t>
            </w:r>
          </w:p>
          <w:p w14:paraId="7919EA73" w14:textId="77777777" w:rsidR="006E0F36" w:rsidRPr="0029659D" w:rsidRDefault="006E0F36" w:rsidP="00B94F95">
            <w:pPr>
              <w:snapToGrid w:val="0"/>
              <w:spacing w:after="0"/>
            </w:pPr>
            <w:r w:rsidRPr="0029659D">
              <w:t>Proposal 1: Study the potential solutions for DL timing drift rate estimation.</w:t>
            </w:r>
          </w:p>
          <w:p w14:paraId="72443C41" w14:textId="77777777" w:rsidR="006E0F36" w:rsidRPr="0029659D" w:rsidRDefault="006E0F36" w:rsidP="00B94F95">
            <w:pPr>
              <w:snapToGrid w:val="0"/>
              <w:spacing w:after="0"/>
            </w:pPr>
            <w:r w:rsidRPr="0029659D">
              <w:t>Proposal 2: Take the NTN specific UL frequency offset into the consideration of RACH design.</w:t>
            </w:r>
          </w:p>
          <w:p w14:paraId="3EC87AD5" w14:textId="77777777" w:rsidR="006E0F36" w:rsidRPr="0029659D" w:rsidRDefault="006E0F36" w:rsidP="00B94F95">
            <w:pPr>
              <w:snapToGrid w:val="0"/>
              <w:spacing w:after="0"/>
            </w:pPr>
            <w:r w:rsidRPr="0029659D">
              <w:t>Proposal 3: To obtain the TA for transmitting a preamble, consider at least the following options:</w:t>
            </w:r>
          </w:p>
          <w:p w14:paraId="2C1D028A" w14:textId="77777777" w:rsidR="006E0F36" w:rsidRPr="0029659D" w:rsidRDefault="006E0F36" w:rsidP="00B94F95">
            <w:pPr>
              <w:snapToGrid w:val="0"/>
              <w:spacing w:after="0"/>
            </w:pPr>
            <w:r w:rsidRPr="0029659D">
              <w:tab/>
              <w:t>Closed-loop method</w:t>
            </w:r>
          </w:p>
          <w:p w14:paraId="6FF734B5" w14:textId="77777777" w:rsidR="006E0F36" w:rsidRPr="0029659D" w:rsidRDefault="006E0F36" w:rsidP="00B94F95">
            <w:pPr>
              <w:snapToGrid w:val="0"/>
              <w:spacing w:after="0"/>
            </w:pPr>
            <w:r w:rsidRPr="0029659D">
              <w:tab/>
            </w:r>
            <w:r w:rsidRPr="0029659D">
              <w:tab/>
              <w:t>Option 1: gNB broadcasts the full common TA.</w:t>
            </w:r>
          </w:p>
          <w:p w14:paraId="79ADF604" w14:textId="77777777" w:rsidR="006E0F36" w:rsidRPr="0029659D" w:rsidRDefault="006E0F36" w:rsidP="00B94F95">
            <w:pPr>
              <w:snapToGrid w:val="0"/>
              <w:spacing w:after="0"/>
              <w:ind w:left="851"/>
            </w:pPr>
            <w:r w:rsidRPr="0029659D">
              <w:t>Option 2: gNB broadcasts the partial common TA and the network compensates the residual delay.</w:t>
            </w:r>
          </w:p>
          <w:p w14:paraId="21C3F7CF" w14:textId="77777777" w:rsidR="006E0F36" w:rsidRPr="0029659D" w:rsidRDefault="006E0F36" w:rsidP="00B94F95">
            <w:pPr>
              <w:snapToGrid w:val="0"/>
              <w:spacing w:after="0"/>
              <w:ind w:left="851"/>
            </w:pPr>
            <w:r w:rsidRPr="0029659D">
              <w:tab/>
              <w:t xml:space="preserve">FFS: Details on signaling and forms </w:t>
            </w:r>
          </w:p>
          <w:p w14:paraId="76067984" w14:textId="77777777" w:rsidR="006E0F36" w:rsidRPr="0029659D" w:rsidRDefault="006E0F36" w:rsidP="00B94F95">
            <w:pPr>
              <w:snapToGrid w:val="0"/>
              <w:spacing w:after="0"/>
            </w:pPr>
            <w:r w:rsidRPr="0029659D">
              <w:tab/>
              <w:t>Open-loop method</w:t>
            </w:r>
          </w:p>
          <w:p w14:paraId="7170BB6E" w14:textId="77777777" w:rsidR="006E0F36" w:rsidRPr="0029659D" w:rsidRDefault="006E0F36" w:rsidP="00B94F95">
            <w:pPr>
              <w:snapToGrid w:val="0"/>
              <w:spacing w:after="0"/>
            </w:pPr>
            <w:r w:rsidRPr="0029659D">
              <w:tab/>
            </w:r>
            <w:r w:rsidRPr="0029659D">
              <w:tab/>
              <w:t xml:space="preserve">Option 3: The UE calculates the TA according to its position and the satellite ephemeris. </w:t>
            </w:r>
          </w:p>
          <w:p w14:paraId="0CD35C2E" w14:textId="77777777" w:rsidR="006E0F36" w:rsidRPr="0029659D" w:rsidRDefault="006E0F36" w:rsidP="00B94F95">
            <w:pPr>
              <w:snapToGrid w:val="0"/>
              <w:spacing w:after="0"/>
            </w:pPr>
            <w:r w:rsidRPr="0029659D">
              <w:tab/>
            </w:r>
            <w:r w:rsidRPr="0029659D">
              <w:tab/>
            </w:r>
            <w:r w:rsidRPr="0029659D">
              <w:tab/>
              <w:t>FFS: Effects of positioning error and ephemeris error</w:t>
            </w:r>
          </w:p>
          <w:p w14:paraId="238415DF" w14:textId="77777777" w:rsidR="006E0F36" w:rsidRPr="0029659D" w:rsidRDefault="006E0F36" w:rsidP="00B94F95">
            <w:pPr>
              <w:snapToGrid w:val="0"/>
              <w:spacing w:after="0"/>
            </w:pPr>
            <w:r w:rsidRPr="0029659D">
              <w:t>Proposal 4: Increase the bit width of the TA command, if the timing accuracy requirement cannot be met when adopting the scaling factor.</w:t>
            </w:r>
          </w:p>
          <w:p w14:paraId="1D47D897" w14:textId="77777777" w:rsidR="006E0F36" w:rsidRPr="0029659D" w:rsidRDefault="006E0F36" w:rsidP="00B94F95">
            <w:pPr>
              <w:snapToGrid w:val="0"/>
              <w:spacing w:after="0"/>
            </w:pPr>
            <w:r w:rsidRPr="0029659D">
              <w:t>Proposal 5: It is necessary to retain the closed-loop TA adjustment mechanism due to positioning inaccuracy, even in case the GNSS of UE and the ephemeris of serving satellites are available.</w:t>
            </w:r>
          </w:p>
          <w:p w14:paraId="684CE4C1" w14:textId="77777777" w:rsidR="006E0F36" w:rsidRPr="0029659D" w:rsidRDefault="006E0F36" w:rsidP="00B94F95">
            <w:pPr>
              <w:snapToGrid w:val="0"/>
              <w:spacing w:after="0"/>
            </w:pPr>
            <w:r w:rsidRPr="0029659D">
              <w:t>Proposal 6: Besides utilizing the existing TA adjustment mechanism, UE may also implement self-adjustment of the TA value with the help of the timing drift rate. The following options can be considered:</w:t>
            </w:r>
          </w:p>
          <w:p w14:paraId="68F0C063" w14:textId="77777777" w:rsidR="006E0F36" w:rsidRPr="0029659D" w:rsidRDefault="006E0F36" w:rsidP="00B94F95">
            <w:pPr>
              <w:snapToGrid w:val="0"/>
              <w:spacing w:after="0"/>
              <w:ind w:left="425" w:firstLine="425"/>
            </w:pPr>
            <w:r w:rsidRPr="0029659D">
              <w:t>Option 1: gNB indicates the timing drift rate to each UE.</w:t>
            </w:r>
          </w:p>
          <w:p w14:paraId="771194F7" w14:textId="77777777" w:rsidR="006E0F36" w:rsidRPr="0029659D" w:rsidRDefault="006E0F36" w:rsidP="00B94F95">
            <w:pPr>
              <w:snapToGrid w:val="0"/>
              <w:spacing w:after="0"/>
              <w:ind w:left="851"/>
            </w:pPr>
            <w:r w:rsidRPr="0029659D">
              <w:t>Option 2: gNB broadcasts a cell/beam-specific common timing drift rate.</w:t>
            </w:r>
          </w:p>
          <w:p w14:paraId="788CC35C" w14:textId="77777777" w:rsidR="006E0F36" w:rsidRPr="0029659D" w:rsidRDefault="006E0F36" w:rsidP="00B94F95">
            <w:pPr>
              <w:snapToGrid w:val="0"/>
              <w:spacing w:after="0"/>
              <w:ind w:left="851"/>
            </w:pPr>
            <w:r w:rsidRPr="0029659D">
              <w:t>Option 3: UE estimates the timing drift rate by itself.</w:t>
            </w:r>
          </w:p>
          <w:p w14:paraId="4B2F9589" w14:textId="77777777" w:rsidR="006E0F36" w:rsidRPr="0029659D" w:rsidRDefault="006E0F36" w:rsidP="00B94F95">
            <w:pPr>
              <w:snapToGrid w:val="0"/>
              <w:spacing w:after="0"/>
              <w:ind w:left="850" w:firstLine="425"/>
            </w:pPr>
            <w:r w:rsidRPr="0029659D">
              <w:t>FFS: Details on signaling and forms</w:t>
            </w:r>
          </w:p>
          <w:p w14:paraId="7B887F02" w14:textId="77777777" w:rsidR="006E0F36" w:rsidRPr="0029659D" w:rsidRDefault="006E0F36" w:rsidP="00B94F95">
            <w:pPr>
              <w:snapToGrid w:val="0"/>
              <w:spacing w:after="0"/>
              <w:ind w:left="850" w:firstLine="425"/>
            </w:pPr>
            <w:r w:rsidRPr="0029659D">
              <w:t xml:space="preserve">FFS: Overhead and accuracy </w:t>
            </w:r>
          </w:p>
          <w:p w14:paraId="3E7D728D" w14:textId="77777777" w:rsidR="006E0F36" w:rsidRPr="0029659D" w:rsidRDefault="006E0F36" w:rsidP="00B94F95">
            <w:pPr>
              <w:snapToGrid w:val="0"/>
              <w:spacing w:after="0"/>
            </w:pPr>
            <w:r w:rsidRPr="0029659D">
              <w:t>Proposal 7: Consider the following options in the study of preamble CP length for NTN:</w:t>
            </w:r>
          </w:p>
          <w:p w14:paraId="6DA06AC1" w14:textId="77777777" w:rsidR="006E0F36" w:rsidRPr="0029659D" w:rsidRDefault="006E0F36" w:rsidP="00B94F95">
            <w:pPr>
              <w:snapToGrid w:val="0"/>
              <w:spacing w:after="0"/>
            </w:pPr>
            <w:r w:rsidRPr="0029659D">
              <w:tab/>
              <w:t>Option 1: Utilize a positioning method</w:t>
            </w:r>
          </w:p>
          <w:p w14:paraId="3E2C5EA8" w14:textId="77777777" w:rsidR="006E0F36" w:rsidRPr="0029659D" w:rsidRDefault="006E0F36" w:rsidP="00B94F95">
            <w:pPr>
              <w:snapToGrid w:val="0"/>
              <w:spacing w:after="0"/>
            </w:pPr>
            <w:r w:rsidRPr="0029659D">
              <w:tab/>
            </w:r>
            <w:r w:rsidRPr="0029659D">
              <w:tab/>
              <w:t xml:space="preserve">FFS: Effects of positioning error and ephemeris error </w:t>
            </w:r>
          </w:p>
          <w:p w14:paraId="47382647" w14:textId="77777777" w:rsidR="006E0F36" w:rsidRPr="0029659D" w:rsidRDefault="006E0F36" w:rsidP="00B94F95">
            <w:pPr>
              <w:snapToGrid w:val="0"/>
              <w:spacing w:after="0"/>
            </w:pPr>
            <w:r w:rsidRPr="0029659D">
              <w:tab/>
              <w:t>Option 2: Utilize the multiple detection method</w:t>
            </w:r>
          </w:p>
          <w:p w14:paraId="50214410" w14:textId="77777777" w:rsidR="006E0F36" w:rsidRPr="0029659D" w:rsidRDefault="006E0F36" w:rsidP="00B94F95">
            <w:pPr>
              <w:snapToGrid w:val="0"/>
              <w:spacing w:after="0"/>
            </w:pPr>
            <w:r w:rsidRPr="0029659D">
              <w:tab/>
              <w:t>Option 3: Extend the Rel-15 preamble CP length</w:t>
            </w:r>
          </w:p>
          <w:p w14:paraId="273D0496" w14:textId="77777777" w:rsidR="006E0F36" w:rsidRPr="0029659D" w:rsidRDefault="006E0F36" w:rsidP="00B94F95">
            <w:pPr>
              <w:snapToGrid w:val="0"/>
              <w:spacing w:after="0"/>
              <w:ind w:left="425" w:firstLine="425"/>
            </w:pPr>
            <w:r w:rsidRPr="0029659D">
              <w:t xml:space="preserve">FFS: the repetition method </w:t>
            </w:r>
          </w:p>
          <w:p w14:paraId="7FECF16F" w14:textId="3E1B12F7" w:rsidR="00DF3183" w:rsidRPr="0029659D" w:rsidRDefault="006E0F36" w:rsidP="00B94F95">
            <w:pPr>
              <w:pStyle w:val="Eqn"/>
              <w:spacing w:after="0"/>
              <w:rPr>
                <w:sz w:val="20"/>
                <w:szCs w:val="20"/>
                <w:lang w:val="en-GB" w:eastAsia="en-US"/>
              </w:rPr>
            </w:pPr>
            <w:r w:rsidRPr="0029659D">
              <w:rPr>
                <w:sz w:val="20"/>
                <w:szCs w:val="20"/>
                <w:lang w:val="en-GB" w:eastAsia="en-US"/>
              </w:rPr>
              <w:t>Proposal 8: Constant offset should be considered for extending the delay of MSG3 on PUSCH and HARQ-ACK of MSG4 on PUCCH.</w:t>
            </w:r>
          </w:p>
        </w:tc>
      </w:tr>
      <w:tr w:rsidR="00DF3183" w:rsidRPr="0029659D" w14:paraId="310DC518" w14:textId="77777777" w:rsidTr="009F01EA">
        <w:trPr>
          <w:trHeight w:val="400"/>
          <w:jc w:val="center"/>
        </w:trPr>
        <w:tc>
          <w:tcPr>
            <w:tcW w:w="0" w:type="auto"/>
            <w:shd w:val="clear" w:color="auto" w:fill="auto"/>
            <w:vAlign w:val="center"/>
            <w:hideMark/>
          </w:tcPr>
          <w:p w14:paraId="71D94CC6" w14:textId="2E198E34" w:rsidR="009F01EA" w:rsidRPr="0029659D" w:rsidRDefault="0055630A" w:rsidP="00B94F95">
            <w:pPr>
              <w:snapToGrid w:val="0"/>
              <w:spacing w:after="0"/>
              <w:jc w:val="center"/>
            </w:pPr>
            <w:hyperlink r:id="rId14" w:history="1">
              <w:r w:rsidR="00DF3183" w:rsidRPr="0029659D">
                <w:t>R1-1908128</w:t>
              </w:r>
            </w:hyperlink>
          </w:p>
          <w:p w14:paraId="4747B0E5" w14:textId="38634BCE" w:rsidR="00DF3183" w:rsidRPr="0029659D" w:rsidRDefault="00DF3183" w:rsidP="00B94F95">
            <w:pPr>
              <w:snapToGrid w:val="0"/>
              <w:spacing w:after="0"/>
              <w:jc w:val="center"/>
            </w:pPr>
            <w:r w:rsidRPr="0029659D">
              <w:t>Pengcheng laboratory</w:t>
            </w:r>
          </w:p>
        </w:tc>
        <w:tc>
          <w:tcPr>
            <w:tcW w:w="0" w:type="auto"/>
            <w:vAlign w:val="center"/>
          </w:tcPr>
          <w:p w14:paraId="12F752FE" w14:textId="77777777" w:rsidR="006E0F36" w:rsidRPr="0029659D" w:rsidRDefault="006E0F36" w:rsidP="00B94F95">
            <w:pPr>
              <w:snapToGrid w:val="0"/>
              <w:spacing w:after="0"/>
            </w:pPr>
            <w:r w:rsidRPr="0029659D">
              <w:t>Observation 1. In NTN, the near-far phenomenon will not exist, the UL power control is mainly used to compensation the large path loss.</w:t>
            </w:r>
          </w:p>
          <w:p w14:paraId="78A2CCEB" w14:textId="35379432" w:rsidR="006E0F36" w:rsidRPr="0029659D" w:rsidRDefault="006E0F36" w:rsidP="00B94F95">
            <w:pPr>
              <w:snapToGrid w:val="0"/>
              <w:spacing w:after="0"/>
            </w:pPr>
            <w:r w:rsidRPr="0029659D">
              <w:t>Proposal 1: In power control procedure of NTN, the open loop method should be used.</w:t>
            </w:r>
          </w:p>
          <w:p w14:paraId="189C4CE8" w14:textId="77777777" w:rsidR="006E0F36" w:rsidRPr="0029659D" w:rsidRDefault="006E0F36" w:rsidP="00B94F95">
            <w:pPr>
              <w:snapToGrid w:val="0"/>
              <w:spacing w:after="0"/>
            </w:pPr>
            <w:r w:rsidRPr="0029659D">
              <w:t>Proposal 2: The open loop procedure used for power control should be conservative to guarantee the robustness of transmission.</w:t>
            </w:r>
          </w:p>
          <w:p w14:paraId="245A236D" w14:textId="5CC73A73" w:rsidR="00DF3183" w:rsidRPr="0029659D" w:rsidRDefault="006E0F36" w:rsidP="00B94F95">
            <w:pPr>
              <w:snapToGrid w:val="0"/>
              <w:spacing w:after="0"/>
            </w:pPr>
            <w:r w:rsidRPr="0029659D">
              <w:t>Proposal 3: Adopting the CSI inference based on CSI report may improve the level of matching between CSI and ACM scheme.</w:t>
            </w:r>
          </w:p>
        </w:tc>
      </w:tr>
      <w:tr w:rsidR="006E0F36" w:rsidRPr="0029659D" w14:paraId="5B3CA36D" w14:textId="77777777" w:rsidTr="009F01EA">
        <w:trPr>
          <w:trHeight w:val="400"/>
          <w:jc w:val="center"/>
        </w:trPr>
        <w:tc>
          <w:tcPr>
            <w:tcW w:w="0" w:type="auto"/>
            <w:shd w:val="clear" w:color="auto" w:fill="auto"/>
            <w:vAlign w:val="center"/>
          </w:tcPr>
          <w:p w14:paraId="0CFA3B04" w14:textId="1F22BF7A" w:rsidR="006E0F36" w:rsidRPr="0029659D" w:rsidRDefault="0055630A" w:rsidP="00B94F95">
            <w:pPr>
              <w:snapToGrid w:val="0"/>
              <w:spacing w:after="0"/>
              <w:jc w:val="center"/>
            </w:pPr>
            <w:hyperlink r:id="rId15" w:history="1">
              <w:r w:rsidR="006E0F36" w:rsidRPr="0029659D">
                <w:t>R1-1908129</w:t>
              </w:r>
            </w:hyperlink>
          </w:p>
          <w:p w14:paraId="5A226F59" w14:textId="76B6C597" w:rsidR="006E0F36" w:rsidRPr="0029659D" w:rsidRDefault="006E0F36" w:rsidP="00B94F95">
            <w:pPr>
              <w:snapToGrid w:val="0"/>
              <w:spacing w:after="0"/>
              <w:jc w:val="center"/>
            </w:pPr>
            <w:r w:rsidRPr="0029659D">
              <w:t>Pengcheng laboratory</w:t>
            </w:r>
          </w:p>
        </w:tc>
        <w:tc>
          <w:tcPr>
            <w:tcW w:w="0" w:type="auto"/>
            <w:vAlign w:val="center"/>
          </w:tcPr>
          <w:p w14:paraId="412E4CA7" w14:textId="754F8BB4"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Observation 1: In NTN the TA maintenance can not only depends on gNB indication.</w:t>
            </w:r>
          </w:p>
          <w:p w14:paraId="283F880C"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1: The propagation delay of UE in NTN should be separate into two parts, common delay D1 and UE-specific delay D2.</w:t>
            </w:r>
          </w:p>
          <w:p w14:paraId="285304FC"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2: The UE-specific delay D2 should be able to handle the difference value between the largest UE to satellite distance and smallest distance.</w:t>
            </w:r>
          </w:p>
          <w:p w14:paraId="13F2FC1C"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3: The UE-specific delay D2 should include negative amount.</w:t>
            </w:r>
          </w:p>
          <w:p w14:paraId="6BBE795D"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4: The ephemeris information should be stored at UE side previously or broadcasted by gNB.</w:t>
            </w:r>
          </w:p>
          <w:p w14:paraId="0542D1A9"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5: The UE in NTN should do TA value estimated based on UE position information and ephemeris information.</w:t>
            </w:r>
          </w:p>
          <w:p w14:paraId="6F71F105" w14:textId="77777777" w:rsidR="006E0F36" w:rsidRPr="0029659D" w:rsidRDefault="006E0F36" w:rsidP="00B94F95">
            <w:pPr>
              <w:pStyle w:val="maintext"/>
              <w:adjustRightInd w:val="0"/>
              <w:snapToGrid w:val="0"/>
              <w:spacing w:before="0" w:after="0" w:line="240" w:lineRule="auto"/>
              <w:ind w:firstLineChars="0" w:firstLine="0"/>
              <w:rPr>
                <w:lang w:eastAsia="en-US"/>
              </w:rPr>
            </w:pPr>
            <w:r w:rsidRPr="0029659D">
              <w:rPr>
                <w:lang w:eastAsia="en-US"/>
              </w:rPr>
              <w:t>Proposal 6: The UE directly accessing in NTN must have the GNSS information.</w:t>
            </w:r>
          </w:p>
          <w:p w14:paraId="6E6AD6BA" w14:textId="77777777" w:rsidR="006E0F36" w:rsidRPr="0029659D" w:rsidRDefault="006E0F36" w:rsidP="00B94F95">
            <w:pPr>
              <w:snapToGrid w:val="0"/>
              <w:spacing w:after="0"/>
            </w:pPr>
            <w:r w:rsidRPr="0029659D">
              <w:t>Proposal 7: Increasing the repetition number of preamble sequence may improve the performance of the step 1 in RACH procedure.</w:t>
            </w:r>
          </w:p>
          <w:p w14:paraId="7616941A" w14:textId="13BC8C05" w:rsidR="006E0F36" w:rsidRPr="0029659D" w:rsidRDefault="006E0F36" w:rsidP="00B94F95">
            <w:pPr>
              <w:snapToGrid w:val="0"/>
              <w:spacing w:after="0"/>
            </w:pPr>
            <w:r w:rsidRPr="0029659D">
              <w:lastRenderedPageBreak/>
              <w:t>Proposal 8: The TA command may be replaced by a timing calibration information to improve the accuracy of TA value estimated at UE side.</w:t>
            </w:r>
          </w:p>
        </w:tc>
      </w:tr>
      <w:tr w:rsidR="00DF3183" w:rsidRPr="0029659D" w14:paraId="44CE20EF" w14:textId="77777777" w:rsidTr="009F01EA">
        <w:trPr>
          <w:trHeight w:val="400"/>
          <w:jc w:val="center"/>
        </w:trPr>
        <w:tc>
          <w:tcPr>
            <w:tcW w:w="0" w:type="auto"/>
            <w:shd w:val="clear" w:color="auto" w:fill="auto"/>
            <w:vAlign w:val="center"/>
            <w:hideMark/>
          </w:tcPr>
          <w:p w14:paraId="784F01E8" w14:textId="77777777" w:rsidR="00DF3183" w:rsidRPr="0029659D" w:rsidRDefault="0055630A" w:rsidP="00B94F95">
            <w:pPr>
              <w:snapToGrid w:val="0"/>
              <w:spacing w:after="0"/>
              <w:jc w:val="center"/>
            </w:pPr>
            <w:hyperlink r:id="rId16" w:history="1">
              <w:r w:rsidR="00DF3183" w:rsidRPr="0029659D">
                <w:t>R1-1908229</w:t>
              </w:r>
            </w:hyperlink>
          </w:p>
          <w:p w14:paraId="0A091978" w14:textId="77777777" w:rsidR="00DF3183" w:rsidRPr="0029659D" w:rsidRDefault="00DF3183" w:rsidP="00B94F95">
            <w:pPr>
              <w:snapToGrid w:val="0"/>
              <w:spacing w:after="0"/>
              <w:jc w:val="center"/>
            </w:pPr>
            <w:r w:rsidRPr="0029659D">
              <w:t>THALES</w:t>
            </w:r>
          </w:p>
        </w:tc>
        <w:tc>
          <w:tcPr>
            <w:tcW w:w="0" w:type="auto"/>
            <w:vAlign w:val="center"/>
          </w:tcPr>
          <w:p w14:paraId="4D75EB2B"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frequency synchronization algorithms behaviour at UE side when correcting the significantly high frequency offsets that can be experienced in NTN</w:t>
            </w:r>
          </w:p>
          <w:p w14:paraId="3FCBB58D"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investigate the impact of high frequency mismatch between the local oscillators used at both sides of the transmission.</w:t>
            </w:r>
          </w:p>
          <w:p w14:paraId="0500AF67"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if the UE frequency synchronization difficulties met in NTN can be overcome by using Doppler shift pre-compensation.</w:t>
            </w:r>
          </w:p>
          <w:p w14:paraId="0655B958"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impact of the discontinuities of Doppler shift experienced during H/O or beam switching procedures that are introduced by the pre-compensation mechanism.</w:t>
            </w:r>
          </w:p>
          <w:p w14:paraId="21B41DEB"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impacts of frequency misalignment between the UL RX nominal frequency generated by the gNB and the UL RX experienced frequency on receiving performance.</w:t>
            </w:r>
          </w:p>
          <w:p w14:paraId="15EC75A6" w14:textId="77777777" w:rsidR="006E0F36"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if the difficulties due to frequency misalignments experienced on UL transmissions can be overcome by using Doppler shift post-compensation.</w:t>
            </w:r>
          </w:p>
          <w:p w14:paraId="1A22D18F" w14:textId="303D054D" w:rsidR="00DF3183" w:rsidRPr="0029659D" w:rsidRDefault="006E0F36" w:rsidP="00207430">
            <w:pPr>
              <w:pStyle w:val="Proposal"/>
              <w:numPr>
                <w:ilvl w:val="0"/>
                <w:numId w:val="21"/>
              </w:numPr>
              <w:tabs>
                <w:tab w:val="num" w:pos="1304"/>
              </w:tabs>
              <w:adjustRightInd w:val="0"/>
              <w:snapToGrid w:val="0"/>
              <w:rPr>
                <w:rFonts w:ascii="Times New Roman" w:hAnsi="Times New Roman"/>
                <w:b w:val="0"/>
                <w:bCs w:val="0"/>
                <w:kern w:val="0"/>
                <w:sz w:val="20"/>
                <w:szCs w:val="20"/>
                <w:lang w:val="en-GB" w:eastAsia="en-US"/>
              </w:rPr>
            </w:pPr>
            <w:r w:rsidRPr="0029659D">
              <w:rPr>
                <w:rFonts w:ascii="Times New Roman" w:hAnsi="Times New Roman"/>
                <w:b w:val="0"/>
                <w:bCs w:val="0"/>
                <w:kern w:val="0"/>
                <w:sz w:val="20"/>
                <w:szCs w:val="20"/>
                <w:lang w:val="en-GB" w:eastAsia="en-US"/>
              </w:rPr>
              <w:t>RAN WG1 should evaluate the impacts of UL frequency misalignments experienced by the gNB between the UL transmissions on receiving performance.</w:t>
            </w:r>
          </w:p>
        </w:tc>
      </w:tr>
      <w:tr w:rsidR="00DF3183" w:rsidRPr="0029659D" w14:paraId="55ABBCD4" w14:textId="77777777" w:rsidTr="009F01EA">
        <w:trPr>
          <w:trHeight w:val="400"/>
          <w:jc w:val="center"/>
        </w:trPr>
        <w:tc>
          <w:tcPr>
            <w:tcW w:w="0" w:type="auto"/>
            <w:shd w:val="clear" w:color="auto" w:fill="auto"/>
            <w:vAlign w:val="center"/>
            <w:hideMark/>
          </w:tcPr>
          <w:p w14:paraId="32D23D54" w14:textId="77777777" w:rsidR="00DF3183" w:rsidRPr="0029659D" w:rsidRDefault="0055630A" w:rsidP="00B94F95">
            <w:pPr>
              <w:snapToGrid w:val="0"/>
              <w:spacing w:after="0"/>
              <w:jc w:val="center"/>
            </w:pPr>
            <w:hyperlink r:id="rId17" w:history="1">
              <w:r w:rsidR="00DF3183" w:rsidRPr="0029659D">
                <w:t>R1-1908250</w:t>
              </w:r>
            </w:hyperlink>
          </w:p>
          <w:p w14:paraId="46878473" w14:textId="77777777" w:rsidR="00DF3183" w:rsidRPr="0029659D" w:rsidRDefault="00DF3183" w:rsidP="00B94F95">
            <w:pPr>
              <w:snapToGrid w:val="0"/>
              <w:spacing w:after="0"/>
              <w:jc w:val="center"/>
            </w:pPr>
            <w:r w:rsidRPr="0029659D">
              <w:t>Nokia</w:t>
            </w:r>
          </w:p>
        </w:tc>
        <w:tc>
          <w:tcPr>
            <w:tcW w:w="0" w:type="auto"/>
            <w:vAlign w:val="center"/>
          </w:tcPr>
          <w:p w14:paraId="5E8E7927" w14:textId="779A677B"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_Ref16891239 \r \h </w:instrText>
            </w:r>
            <w:r w:rsidR="00B94F95" w:rsidRPr="0029659D">
              <w:rPr>
                <w:rFonts w:ascii="Times New Roman" w:hAnsi="Times New Roman"/>
                <w:szCs w:val="20"/>
                <w:lang w:val="en-GB"/>
              </w:rPr>
              <w:instrText xml:space="preserve">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w:t>
            </w:r>
            <w:r w:rsidRPr="0029659D">
              <w:rPr>
                <w:rFonts w:ascii="Times New Roman" w:hAnsi="Times New Roman"/>
                <w:szCs w:val="20"/>
                <w:lang w:val="en-GB"/>
              </w:rPr>
              <w:fldChar w:fldCharType="end"/>
            </w:r>
            <w:r w:rsidRPr="0029659D">
              <w:rPr>
                <w:rFonts w:ascii="Times New Roman" w:hAnsi="Times New Roman"/>
                <w:szCs w:val="20"/>
                <w:lang w:val="en-GB"/>
              </w:rPr>
              <w:t xml:space="preserve"> UE can reuse the existing solutions to compensate differential frequency offset for its DL transmission from its geographical beam if SCS is 30kHz or 60 kHz in S band and 240 kHz in Ka band.</w:t>
            </w:r>
          </w:p>
          <w:p w14:paraId="1ACAC5BB"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DL Doppler compensation is needed at the UE side for multi-beam measurement and multi-beam receiving even the beam-specific common frequency offset has been pre-compensated at the network side.</w:t>
            </w:r>
          </w:p>
          <w:p w14:paraId="7010545F" w14:textId="7980C7FA"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_Ref16891289 \r \h </w:instrText>
            </w:r>
            <w:r w:rsidR="00B94F95" w:rsidRPr="0029659D">
              <w:rPr>
                <w:rFonts w:ascii="Times New Roman" w:hAnsi="Times New Roman"/>
                <w:szCs w:val="20"/>
                <w:lang w:val="en-GB"/>
              </w:rPr>
              <w:instrText xml:space="preserve">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2:</w:t>
            </w:r>
            <w:r w:rsidRPr="0029659D">
              <w:rPr>
                <w:rFonts w:ascii="Times New Roman" w:hAnsi="Times New Roman"/>
                <w:szCs w:val="20"/>
                <w:lang w:val="en-GB"/>
              </w:rPr>
              <w:fldChar w:fldCharType="end"/>
            </w:r>
            <w:r w:rsidRPr="0029659D">
              <w:rPr>
                <w:rFonts w:ascii="Times New Roman" w:hAnsi="Times New Roman"/>
                <w:szCs w:val="20"/>
                <w:lang w:val="en-GB"/>
              </w:rPr>
              <w:t xml:space="preserve"> UE can reuse the existing solutions to compensate differential frequency offset for its UL transmission corresponding to its geographical beam if SCS is 60 kHz @ 2GHz carrier frequency but might need further enhancement in other cases depending on the size of beam diameter.</w:t>
            </w:r>
          </w:p>
          <w:p w14:paraId="3D81BE9E"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 xml:space="preserve">UL Doppler compensation at the UE side is needed for multi-beam transmission even the beam-specific common frequency offset is post-compensated at the network side. </w:t>
            </w:r>
          </w:p>
          <w:p w14:paraId="357A81D9"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RAN1 to study the availability of triggering the Doppler shifts robust mechanism for the UEs with large Doppler shifts or hard to be compensated.</w:t>
            </w:r>
          </w:p>
          <w:p w14:paraId="37D4427E"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bookmarkStart w:id="3" w:name="_Hlk16889749"/>
            <w:r w:rsidRPr="0029659D">
              <w:rPr>
                <w:rFonts w:ascii="Times New Roman" w:hAnsi="Times New Roman"/>
                <w:szCs w:val="20"/>
                <w:lang w:val="en-GB"/>
              </w:rPr>
              <w:t>The TA shall be comprised of a common plus a UE-specific TA, where the common TA must be broadcast by the gNB for each NR cell</w:t>
            </w:r>
            <w:bookmarkEnd w:id="3"/>
            <w:r w:rsidRPr="0029659D">
              <w:rPr>
                <w:rFonts w:ascii="Times New Roman" w:hAnsi="Times New Roman"/>
                <w:szCs w:val="20"/>
                <w:lang w:val="en-GB"/>
              </w:rPr>
              <w:t xml:space="preserve">.  </w:t>
            </w:r>
          </w:p>
          <w:bookmarkStart w:id="4" w:name="_Hlk16889806"/>
          <w:p w14:paraId="65079B63"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_Ref16891414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3:</w:t>
            </w:r>
            <w:r w:rsidRPr="0029659D">
              <w:rPr>
                <w:rFonts w:ascii="Times New Roman" w:hAnsi="Times New Roman"/>
                <w:szCs w:val="20"/>
                <w:lang w:val="en-GB"/>
              </w:rPr>
              <w:fldChar w:fldCharType="end"/>
            </w:r>
            <w:r w:rsidRPr="0029659D">
              <w:rPr>
                <w:rFonts w:ascii="Times New Roman" w:hAnsi="Times New Roman"/>
                <w:szCs w:val="20"/>
                <w:lang w:val="en-GB"/>
              </w:rPr>
              <w:t xml:space="preserve"> In order to provide coverage for planes, the common TA must be located up to 18.5 km above Earth’s surface</w:t>
            </w:r>
            <w:bookmarkEnd w:id="4"/>
            <w:r w:rsidRPr="0029659D">
              <w:rPr>
                <w:rFonts w:ascii="Times New Roman" w:hAnsi="Times New Roman"/>
                <w:szCs w:val="20"/>
                <w:lang w:val="en-GB"/>
              </w:rPr>
              <w:t xml:space="preserve">. </w:t>
            </w:r>
          </w:p>
          <w:p w14:paraId="6FE106F8"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_Ref16891480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4:</w:t>
            </w:r>
            <w:r w:rsidRPr="0029659D">
              <w:rPr>
                <w:rFonts w:ascii="Times New Roman" w:hAnsi="Times New Roman"/>
                <w:szCs w:val="20"/>
                <w:lang w:val="en-GB"/>
              </w:rPr>
              <w:fldChar w:fldCharType="end"/>
            </w:r>
            <w:r w:rsidRPr="0029659D">
              <w:rPr>
                <w:rFonts w:ascii="Times New Roman" w:hAnsi="Times New Roman"/>
                <w:szCs w:val="20"/>
                <w:lang w:val="en-GB"/>
              </w:rPr>
              <w:t xml:space="preserve"> The required TA range of NTN cells in the edge of the area covered by a satellite cannot be accommodated within the current NR TA range in some scenarios. </w:t>
            </w:r>
          </w:p>
          <w:p w14:paraId="26D5486A" w14:textId="7D6FC7A0"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 xml:space="preserve">The satellite may broadcast a scale factor, </w:t>
            </w:r>
            <m:oMath>
              <m:sSub>
                <m:sSubPr>
                  <m:ctrlPr>
                    <w:rPr>
                      <w:rFonts w:ascii="Cambria Math" w:hAnsi="Cambria Math"/>
                      <w:szCs w:val="20"/>
                      <w:lang w:val="en-GB"/>
                    </w:rPr>
                  </m:ctrlPr>
                </m:sSubPr>
                <m:e>
                  <m:r>
                    <w:rPr>
                      <w:rFonts w:ascii="Cambria Math" w:hAnsi="Cambria Math"/>
                      <w:szCs w:val="20"/>
                      <w:lang w:val="en-GB"/>
                    </w:rPr>
                    <m:t>S</m:t>
                  </m:r>
                </m:e>
                <m:sub>
                  <m:r>
                    <m:rPr>
                      <m:sty m:val="p"/>
                    </m:rPr>
                    <w:rPr>
                      <w:rFonts w:ascii="Cambria Math" w:hAnsi="Cambria Math"/>
                      <w:szCs w:val="20"/>
                      <w:lang w:val="en-GB"/>
                    </w:rPr>
                    <m:t>0</m:t>
                  </m:r>
                </m:sub>
              </m:sSub>
              <m:r>
                <m:rPr>
                  <m:sty m:val="p"/>
                </m:rPr>
                <w:rPr>
                  <w:rFonts w:ascii="Cambria Math" w:hAnsi="Cambria Math"/>
                  <w:szCs w:val="20"/>
                  <w:lang w:val="en-GB"/>
                </w:rPr>
                <m:t xml:space="preserve">, </m:t>
              </m:r>
            </m:oMath>
            <w:r w:rsidRPr="0029659D">
              <w:rPr>
                <w:rFonts w:ascii="Times New Roman" w:hAnsi="Times New Roman"/>
                <w:szCs w:val="20"/>
                <w:lang w:val="en-GB"/>
              </w:rPr>
              <w:t xml:space="preserve">for the initial TA (S0 = 1, 2, 4, …) for expanding the TA range to accommodate for the beam size and UE distance. </w:t>
            </w:r>
          </w:p>
          <w:bookmarkStart w:id="5" w:name="_Hlk16889851"/>
          <w:p w14:paraId="5F47C8C6"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_Ref16891492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5:</w:t>
            </w:r>
            <w:r w:rsidRPr="0029659D">
              <w:rPr>
                <w:rFonts w:ascii="Times New Roman" w:hAnsi="Times New Roman"/>
                <w:szCs w:val="20"/>
                <w:lang w:val="en-GB"/>
              </w:rPr>
              <w:fldChar w:fldCharType="end"/>
            </w:r>
            <w:r w:rsidRPr="0029659D">
              <w:rPr>
                <w:rFonts w:ascii="Times New Roman" w:hAnsi="Times New Roman"/>
                <w:szCs w:val="20"/>
                <w:lang w:val="en-GB"/>
              </w:rPr>
              <w:t xml:space="preserve"> The possible loss in resolution caused by the scale factor can be dealt with subsequent time alignment update commands during or after the random access phase</w:t>
            </w:r>
            <w:bookmarkEnd w:id="5"/>
            <w:r w:rsidRPr="0029659D">
              <w:rPr>
                <w:rFonts w:ascii="Times New Roman" w:hAnsi="Times New Roman"/>
                <w:szCs w:val="20"/>
                <w:lang w:val="en-GB"/>
              </w:rPr>
              <w:t>.</w:t>
            </w:r>
          </w:p>
          <w:p w14:paraId="5FEE2B98"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_Ref16891348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6:</w:t>
            </w:r>
            <w:r w:rsidRPr="0029659D">
              <w:rPr>
                <w:rFonts w:ascii="Times New Roman" w:hAnsi="Times New Roman"/>
                <w:szCs w:val="20"/>
                <w:lang w:val="en-GB"/>
              </w:rPr>
              <w:fldChar w:fldCharType="end"/>
            </w:r>
            <w:r w:rsidRPr="0029659D">
              <w:rPr>
                <w:rFonts w:ascii="Times New Roman" w:hAnsi="Times New Roman"/>
                <w:szCs w:val="20"/>
                <w:lang w:val="en-GB"/>
              </w:rPr>
              <w:t xml:space="preserve"> Large initial timing advance values may be determined via proprietary TA estimation algorithms.</w:t>
            </w:r>
          </w:p>
          <w:p w14:paraId="4F0B53FD"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_Ref16891553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7:</w:t>
            </w:r>
            <w:r w:rsidRPr="0029659D">
              <w:rPr>
                <w:rFonts w:ascii="Times New Roman" w:hAnsi="Times New Roman"/>
                <w:szCs w:val="20"/>
                <w:lang w:val="en-GB"/>
              </w:rPr>
              <w:fldChar w:fldCharType="end"/>
            </w:r>
            <w:r w:rsidRPr="0029659D">
              <w:rPr>
                <w:rFonts w:ascii="Times New Roman" w:hAnsi="Times New Roman"/>
                <w:szCs w:val="20"/>
                <w:lang w:val="en-GB"/>
              </w:rPr>
              <w:t xml:space="preserve"> The maximum delay variation in the air interface caused by the satellite movement (LEO), is above the UE TA accuracy. </w:t>
            </w:r>
          </w:p>
          <w:p w14:paraId="00A1EEB9"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_Ref16891575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8:</w:t>
            </w:r>
            <w:r w:rsidRPr="0029659D">
              <w:rPr>
                <w:rFonts w:ascii="Times New Roman" w:hAnsi="Times New Roman"/>
                <w:szCs w:val="20"/>
                <w:lang w:val="en-GB"/>
              </w:rPr>
              <w:fldChar w:fldCharType="end"/>
            </w:r>
            <w:r w:rsidRPr="0029659D">
              <w:rPr>
                <w:rFonts w:ascii="Times New Roman" w:hAnsi="Times New Roman"/>
                <w:szCs w:val="20"/>
                <w:lang w:val="en-GB"/>
              </w:rPr>
              <w:t xml:space="preserve"> In order to keep the UE time aligned, up to 10 MAC CE Commands are required for the higher SCS in regenerative LEO scenarios and up to 20 MAC CE Commands are required for the transparent LEO scenarios.  </w:t>
            </w:r>
          </w:p>
          <w:p w14:paraId="5F4FF291"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_Ref16891598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9:</w:t>
            </w:r>
            <w:r w:rsidRPr="0029659D">
              <w:rPr>
                <w:rFonts w:ascii="Times New Roman" w:hAnsi="Times New Roman"/>
                <w:szCs w:val="20"/>
                <w:lang w:val="en-GB"/>
              </w:rPr>
              <w:fldChar w:fldCharType="end"/>
            </w:r>
            <w:r w:rsidRPr="0029659D">
              <w:rPr>
                <w:rFonts w:ascii="Times New Roman" w:hAnsi="Times New Roman"/>
                <w:szCs w:val="20"/>
                <w:lang w:val="en-GB"/>
              </w:rPr>
              <w:t xml:space="preserve"> The network can assist the UE to compensate for TA variations depending on the beam this UE is connected to.  </w:t>
            </w:r>
          </w:p>
          <w:p w14:paraId="191989D5"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To enable the UL TA adjustment in LEO scenarios, the UE shall be able to apply TA compensations above those defined in Table 7.1.2-3 of TR 38.133, with network assistance.</w:t>
            </w:r>
          </w:p>
          <w:p w14:paraId="03C97791"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The gNB shall enable autonomous TA update by the UE, by means of signalling supporting parameters for TA correction.</w:t>
            </w:r>
          </w:p>
          <w:p w14:paraId="62FC9837"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Random access procedure should take into account the methods to avoid UE’s high power consumption and maintain the transmission reliability at the same time.</w:t>
            </w:r>
          </w:p>
          <w:p w14:paraId="0F686C12"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Random access procedure should take into account UE and satellite positions for UE UL transmission if UE location information is available.</w:t>
            </w:r>
          </w:p>
          <w:p w14:paraId="3406AC35"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lastRenderedPageBreak/>
              <w:t>The fast random access procedure mechanism is needed due to long propagation delay in NTN.</w:t>
            </w:r>
          </w:p>
          <w:p w14:paraId="7F093388"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NTN UE-Relay could be introduced between UE and air-borne gNB for efficient information exchange to support fast access due to large propagation delay.</w:t>
            </w:r>
          </w:p>
          <w:p w14:paraId="1F0AF726"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RAN1 to study the pros and cons for RA preamble (UE) and RAR message (gNB) transmission solutions which keep the required RA-RNTI space untouched.</w:t>
            </w:r>
          </w:p>
          <w:p w14:paraId="02B82155"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Use sequence repetition and enhanced signal processing to overcome high pathloss figures</w:t>
            </w:r>
          </w:p>
          <w:p w14:paraId="6CE37A04"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Introduce one additional short preamble format to already existing formats.</w:t>
            </w:r>
          </w:p>
          <w:p w14:paraId="6DCCD7E0"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Allow scaling factor 4 for all short preamble formats for FR2.</w:t>
            </w:r>
          </w:p>
          <w:p w14:paraId="668296D9" w14:textId="77777777" w:rsidR="006E0F36" w:rsidRPr="0029659D" w:rsidRDefault="006E0F36" w:rsidP="00207430">
            <w:pPr>
              <w:pStyle w:val="BodyText"/>
              <w:numPr>
                <w:ilvl w:val="0"/>
                <w:numId w:val="22"/>
              </w:numPr>
              <w:suppressAutoHyphens/>
              <w:overflowPunct/>
              <w:autoSpaceDE/>
              <w:autoSpaceDN/>
              <w:snapToGrid w:val="0"/>
              <w:spacing w:after="0"/>
              <w:textAlignment w:val="auto"/>
              <w:rPr>
                <w:rFonts w:ascii="Times New Roman" w:hAnsi="Times New Roman"/>
                <w:szCs w:val="20"/>
                <w:lang w:val="en-GB"/>
              </w:rPr>
            </w:pPr>
            <w:r w:rsidRPr="0029659D">
              <w:rPr>
                <w:rFonts w:ascii="Times New Roman" w:hAnsi="Times New Roman"/>
                <w:szCs w:val="20"/>
                <w:lang w:val="en-GB"/>
              </w:rPr>
              <w:t>Support of subcarrier scaling factors for 839 long preamble sequences for both FR1 and FR2.</w:t>
            </w:r>
          </w:p>
          <w:bookmarkStart w:id="6" w:name="_Hlk16890352"/>
          <w:bookmarkStart w:id="7" w:name="_Hlk16890080"/>
          <w:p w14:paraId="3AE1E104"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_Ref16891712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10:</w:t>
            </w:r>
            <w:r w:rsidRPr="0029659D">
              <w:rPr>
                <w:rFonts w:ascii="Times New Roman" w:hAnsi="Times New Roman"/>
                <w:szCs w:val="20"/>
                <w:lang w:val="en-GB"/>
              </w:rPr>
              <w:fldChar w:fldCharType="end"/>
            </w:r>
            <w:r w:rsidRPr="0029659D">
              <w:rPr>
                <w:rFonts w:ascii="Times New Roman" w:hAnsi="Times New Roman"/>
                <w:szCs w:val="20"/>
                <w:lang w:val="en-GB"/>
              </w:rPr>
              <w:t xml:space="preserve"> Target missed detection probabilities can be achieved with available short preamble formats in FR1. No subcarrier scaling required with UE specific residual frequency offset compensation</w:t>
            </w:r>
            <w:bookmarkEnd w:id="6"/>
            <w:r w:rsidRPr="0029659D">
              <w:rPr>
                <w:rFonts w:ascii="Times New Roman" w:hAnsi="Times New Roman"/>
                <w:szCs w:val="20"/>
                <w:lang w:val="en-GB"/>
              </w:rPr>
              <w:t>.</w:t>
            </w:r>
            <w:bookmarkEnd w:id="7"/>
          </w:p>
          <w:p w14:paraId="06823CA9"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_Ref16891716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11:</w:t>
            </w:r>
            <w:r w:rsidRPr="0029659D">
              <w:rPr>
                <w:rFonts w:ascii="Times New Roman" w:hAnsi="Times New Roman"/>
                <w:szCs w:val="20"/>
                <w:lang w:val="en-GB"/>
              </w:rPr>
              <w:fldChar w:fldCharType="end"/>
            </w:r>
            <w:r w:rsidRPr="0029659D">
              <w:rPr>
                <w:rFonts w:ascii="Times New Roman" w:hAnsi="Times New Roman"/>
                <w:szCs w:val="20"/>
                <w:lang w:val="en-GB"/>
              </w:rPr>
              <w:t xml:space="preserve"> Increasing number of repetition symbols from 4 to 12 for format C2 improves preamble detection performance.</w:t>
            </w:r>
          </w:p>
          <w:p w14:paraId="4D5DC994"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_Ref16891720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12:</w:t>
            </w:r>
            <w:r w:rsidRPr="0029659D">
              <w:rPr>
                <w:rFonts w:ascii="Times New Roman" w:hAnsi="Times New Roman"/>
                <w:szCs w:val="20"/>
                <w:lang w:val="en-GB"/>
              </w:rPr>
              <w:fldChar w:fldCharType="end"/>
            </w:r>
            <w:r w:rsidRPr="0029659D">
              <w:rPr>
                <w:rFonts w:ascii="Times New Roman" w:hAnsi="Times New Roman"/>
                <w:szCs w:val="20"/>
                <w:lang w:val="en-GB"/>
              </w:rPr>
              <w:t xml:space="preserve"> SCS scaling is required for long preambles and UE not able to compensate residual frequency offsets. No scaling required for UE able to compensate frequency offsets.</w:t>
            </w:r>
          </w:p>
          <w:p w14:paraId="220B16B9"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_Ref16891725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13:</w:t>
            </w:r>
            <w:r w:rsidRPr="0029659D">
              <w:rPr>
                <w:rFonts w:ascii="Times New Roman" w:hAnsi="Times New Roman"/>
                <w:szCs w:val="20"/>
                <w:lang w:val="en-GB"/>
              </w:rPr>
              <w:fldChar w:fldCharType="end"/>
            </w:r>
            <w:r w:rsidRPr="0029659D">
              <w:rPr>
                <w:rFonts w:ascii="Times New Roman" w:hAnsi="Times New Roman"/>
                <w:szCs w:val="20"/>
                <w:lang w:val="en-GB"/>
              </w:rPr>
              <w:t xml:space="preserve"> Performance gains obtained via increasing number of symbol repetitions are significant for FR2 as well.</w:t>
            </w:r>
          </w:p>
          <w:p w14:paraId="1E737686" w14:textId="77777777"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_Ref16891728 \r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14:</w:t>
            </w:r>
            <w:r w:rsidRPr="0029659D">
              <w:rPr>
                <w:rFonts w:ascii="Times New Roman" w:hAnsi="Times New Roman"/>
                <w:szCs w:val="20"/>
                <w:lang w:val="en-GB"/>
              </w:rPr>
              <w:fldChar w:fldCharType="end"/>
            </w:r>
            <w:r w:rsidRPr="0029659D">
              <w:rPr>
                <w:rFonts w:ascii="Times New Roman" w:hAnsi="Times New Roman"/>
                <w:szCs w:val="20"/>
                <w:lang w:val="en-GB"/>
              </w:rPr>
              <w:t xml:space="preserve"> Impact of phase noise on PRACH detection performances is small.</w:t>
            </w:r>
          </w:p>
          <w:p w14:paraId="57F10DD0" w14:textId="4E96B8D0" w:rsidR="00DF3183" w:rsidRPr="0029659D" w:rsidRDefault="006E0F36" w:rsidP="00B94F95">
            <w:pPr>
              <w:snapToGrid w:val="0"/>
              <w:spacing w:after="0"/>
            </w:pPr>
            <w:r w:rsidRPr="0029659D">
              <w:fldChar w:fldCharType="begin"/>
            </w:r>
            <w:r w:rsidRPr="0029659D">
              <w:instrText xml:space="preserve"> REF _Ref16891735 \r \h  \* MERGEFORMAT </w:instrText>
            </w:r>
            <w:r w:rsidRPr="0029659D">
              <w:fldChar w:fldCharType="separate"/>
            </w:r>
            <w:r w:rsidRPr="0029659D">
              <w:t>Observation 15:</w:t>
            </w:r>
            <w:r w:rsidRPr="0029659D">
              <w:fldChar w:fldCharType="end"/>
            </w:r>
            <w:r w:rsidRPr="0029659D">
              <w:t xml:space="preserve"> Use of long preambles in FR2 seems possible but subcarrier scaling is required.</w:t>
            </w:r>
          </w:p>
        </w:tc>
      </w:tr>
      <w:tr w:rsidR="00DF3183" w:rsidRPr="0029659D" w14:paraId="4854871D" w14:textId="77777777" w:rsidTr="009F01EA">
        <w:trPr>
          <w:trHeight w:val="400"/>
          <w:jc w:val="center"/>
        </w:trPr>
        <w:tc>
          <w:tcPr>
            <w:tcW w:w="0" w:type="auto"/>
            <w:shd w:val="clear" w:color="auto" w:fill="auto"/>
            <w:vAlign w:val="center"/>
            <w:hideMark/>
          </w:tcPr>
          <w:p w14:paraId="3877E9CE" w14:textId="77777777" w:rsidR="00DF3183" w:rsidRPr="0029659D" w:rsidRDefault="0055630A" w:rsidP="00B94F95">
            <w:pPr>
              <w:snapToGrid w:val="0"/>
              <w:spacing w:after="0"/>
              <w:jc w:val="center"/>
            </w:pPr>
            <w:hyperlink r:id="rId18" w:history="1">
              <w:r w:rsidR="00DF3183" w:rsidRPr="0029659D">
                <w:t>R1-1908488</w:t>
              </w:r>
            </w:hyperlink>
          </w:p>
          <w:p w14:paraId="6B51670A" w14:textId="77777777" w:rsidR="00DF3183" w:rsidRPr="0029659D" w:rsidRDefault="00DF3183" w:rsidP="00B94F95">
            <w:pPr>
              <w:snapToGrid w:val="0"/>
              <w:spacing w:after="0"/>
              <w:jc w:val="center"/>
            </w:pPr>
            <w:r w:rsidRPr="0029659D">
              <w:t>Samsung</w:t>
            </w:r>
          </w:p>
        </w:tc>
        <w:tc>
          <w:tcPr>
            <w:tcW w:w="0" w:type="auto"/>
            <w:vAlign w:val="center"/>
          </w:tcPr>
          <w:p w14:paraId="46FEC94C" w14:textId="26E3D8EA"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_Ref509300562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1: Large propagation delays in NTNs have impact on UE random access procedures. Extending the RA response window can cause unnecessary UE power consumption.</w:t>
            </w:r>
            <w:r w:rsidRPr="0029659D">
              <w:rPr>
                <w:rFonts w:ascii="Times New Roman" w:hAnsi="Times New Roman"/>
                <w:szCs w:val="20"/>
                <w:lang w:val="en-GB"/>
              </w:rPr>
              <w:fldChar w:fldCharType="end"/>
            </w:r>
          </w:p>
          <w:p w14:paraId="377D40BA" w14:textId="0E054DB8" w:rsidR="006E0F36" w:rsidRPr="0029659D" w:rsidRDefault="006E0F36"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fldChar w:fldCharType="begin"/>
            </w:r>
            <w:r w:rsidRPr="0029659D">
              <w:rPr>
                <w:rFonts w:ascii="Times New Roman" w:hAnsi="Times New Roman"/>
                <w:szCs w:val="20"/>
                <w:lang w:val="en-GB"/>
              </w:rPr>
              <w:instrText xml:space="preserve"> REF _Ref509300587 \h  \* MERGEFORMAT </w:instrText>
            </w:r>
            <w:r w:rsidRPr="0029659D">
              <w:rPr>
                <w:rFonts w:ascii="Times New Roman" w:hAnsi="Times New Roman"/>
                <w:szCs w:val="20"/>
                <w:lang w:val="en-GB"/>
              </w:rPr>
            </w:r>
            <w:r w:rsidRPr="0029659D">
              <w:rPr>
                <w:rFonts w:ascii="Times New Roman" w:hAnsi="Times New Roman"/>
                <w:szCs w:val="20"/>
                <w:lang w:val="en-GB"/>
              </w:rPr>
              <w:fldChar w:fldCharType="separate"/>
            </w:r>
            <w:r w:rsidRPr="0029659D">
              <w:rPr>
                <w:rFonts w:ascii="Times New Roman" w:hAnsi="Times New Roman"/>
                <w:szCs w:val="20"/>
                <w:lang w:val="en-GB"/>
              </w:rPr>
              <w:t>Observation 2: When a NTN is deployed, the NTN BS should have its altitude information and therefore be able to estimate propagation delay information.</w:t>
            </w:r>
            <w:r w:rsidRPr="0029659D">
              <w:rPr>
                <w:rFonts w:ascii="Times New Roman" w:hAnsi="Times New Roman"/>
                <w:szCs w:val="20"/>
                <w:lang w:val="en-GB"/>
              </w:rPr>
              <w:fldChar w:fldCharType="end"/>
            </w:r>
          </w:p>
          <w:p w14:paraId="5B28EA6C" w14:textId="77777777" w:rsidR="006E0F36" w:rsidRPr="0029659D" w:rsidRDefault="006E0F36" w:rsidP="00B94F95">
            <w:pPr>
              <w:pStyle w:val="Caption"/>
              <w:snapToGrid w:val="0"/>
              <w:spacing w:before="0" w:after="0"/>
              <w:jc w:val="both"/>
              <w:rPr>
                <w:b w:val="0"/>
                <w:bCs w:val="0"/>
              </w:rPr>
            </w:pPr>
            <w:r w:rsidRPr="0029659D">
              <w:rPr>
                <w:b w:val="0"/>
                <w:bCs w:val="0"/>
              </w:rPr>
              <w:t xml:space="preserve">Proposal </w:t>
            </w:r>
            <w:r w:rsidRPr="0029659D">
              <w:rPr>
                <w:b w:val="0"/>
                <w:bCs w:val="0"/>
              </w:rPr>
              <w:fldChar w:fldCharType="begin"/>
            </w:r>
            <w:r w:rsidRPr="0029659D">
              <w:rPr>
                <w:b w:val="0"/>
                <w:bCs w:val="0"/>
              </w:rPr>
              <w:instrText xml:space="preserve"> SEQ Proposal \* ARABIC </w:instrText>
            </w:r>
            <w:r w:rsidRPr="0029659D">
              <w:rPr>
                <w:b w:val="0"/>
                <w:bCs w:val="0"/>
              </w:rPr>
              <w:fldChar w:fldCharType="separate"/>
            </w:r>
            <w:r w:rsidRPr="0029659D">
              <w:rPr>
                <w:b w:val="0"/>
                <w:bCs w:val="0"/>
              </w:rPr>
              <w:t>1</w:t>
            </w:r>
            <w:r w:rsidRPr="0029659D">
              <w:rPr>
                <w:b w:val="0"/>
                <w:bCs w:val="0"/>
              </w:rPr>
              <w:fldChar w:fldCharType="end"/>
            </w:r>
            <w:r w:rsidRPr="0029659D">
              <w:rPr>
                <w:b w:val="0"/>
                <w:bCs w:val="0"/>
              </w:rPr>
              <w:t>: Enhancement for UL timing advance range and its acquisition should be studied with consideration of the extremely long propagation delay.</w:t>
            </w:r>
          </w:p>
          <w:p w14:paraId="4BB61CAE" w14:textId="77777777" w:rsidR="006E0F36" w:rsidRPr="0029659D" w:rsidRDefault="006E0F36" w:rsidP="00B94F95">
            <w:pPr>
              <w:pStyle w:val="Caption"/>
              <w:snapToGrid w:val="0"/>
              <w:spacing w:before="0" w:after="0"/>
              <w:jc w:val="both"/>
              <w:rPr>
                <w:b w:val="0"/>
                <w:bCs w:val="0"/>
              </w:rPr>
            </w:pPr>
            <w:r w:rsidRPr="0029659D">
              <w:rPr>
                <w:b w:val="0"/>
                <w:bCs w:val="0"/>
              </w:rPr>
              <w:t>Proposal 2: Including gap information in SIB for NTNs can be considered in NR.</w:t>
            </w:r>
          </w:p>
          <w:p w14:paraId="24772B2F" w14:textId="77777777" w:rsidR="006E0F36" w:rsidRPr="0029659D" w:rsidRDefault="006E0F36" w:rsidP="00B94F95">
            <w:pPr>
              <w:snapToGrid w:val="0"/>
              <w:spacing w:after="0"/>
              <w:jc w:val="both"/>
            </w:pPr>
            <w:r w:rsidRPr="0029659D">
              <w:t>Proposal 3: Existing NR preamble format could be considered for supporting HAPS.</w:t>
            </w:r>
          </w:p>
          <w:p w14:paraId="0AC07A1A" w14:textId="77777777" w:rsidR="006E0F36" w:rsidRPr="0029659D" w:rsidRDefault="006E0F36" w:rsidP="00B94F95">
            <w:pPr>
              <w:pStyle w:val="Caption"/>
              <w:snapToGrid w:val="0"/>
              <w:spacing w:before="0" w:after="0"/>
              <w:jc w:val="both"/>
              <w:rPr>
                <w:b w:val="0"/>
                <w:bCs w:val="0"/>
              </w:rPr>
            </w:pPr>
            <w:r w:rsidRPr="0029659D">
              <w:rPr>
                <w:b w:val="0"/>
                <w:bCs w:val="0"/>
              </w:rPr>
              <w:t>Proposal 4: Enhancement on NR preamble format including introducing new preamble format could be considered for spaceborne vehicles.</w:t>
            </w:r>
          </w:p>
          <w:p w14:paraId="1518EAA0" w14:textId="77777777" w:rsidR="006E0F36" w:rsidRPr="0029659D" w:rsidRDefault="006E0F36" w:rsidP="00B94F95">
            <w:pPr>
              <w:pStyle w:val="Caption"/>
              <w:snapToGrid w:val="0"/>
              <w:spacing w:before="0" w:after="0"/>
              <w:jc w:val="both"/>
              <w:rPr>
                <w:b w:val="0"/>
                <w:bCs w:val="0"/>
              </w:rPr>
            </w:pPr>
            <w:r w:rsidRPr="0029659D">
              <w:rPr>
                <w:b w:val="0"/>
                <w:bCs w:val="0"/>
              </w:rPr>
              <w:t>Proposal 5: Using repetition of the sequence and enlarge the CP length could be considered for enhancement on designing preamble format for NTN systems.</w:t>
            </w:r>
          </w:p>
          <w:p w14:paraId="77EDB1EC" w14:textId="77777777" w:rsidR="006E0F36"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 xml:space="preserve">Proposal 6: Solutions for DL synchronization performance recovery for NTN should be studied. </w:t>
            </w:r>
          </w:p>
          <w:p w14:paraId="74CF949B" w14:textId="77777777" w:rsidR="006E0F36"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 xml:space="preserve">Proposal 7: RAN1 shall determine the SCSs of SS/PBCH block for NTN bands and inform RAN4 to capture them in the corresponding specifications. </w:t>
            </w:r>
          </w:p>
          <w:p w14:paraId="5A84F179" w14:textId="77777777" w:rsidR="006E0F36"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 xml:space="preserve">Proposal 8: RAN1 shall study whether NR Rel-15 CORESET#0 configuration can be reused for NTN bands, taking into account the channelization and synchronization raster design in RAN4. </w:t>
            </w:r>
          </w:p>
          <w:p w14:paraId="2CEAD75B" w14:textId="170AFFA1" w:rsidR="00DF3183" w:rsidRPr="0029659D" w:rsidRDefault="006E0F36" w:rsidP="00B94F95">
            <w:pPr>
              <w:pStyle w:val="BodyText"/>
              <w:pBdr>
                <w:bottom w:val="single" w:sz="12" w:space="1" w:color="auto"/>
              </w:pBdr>
              <w:snapToGrid w:val="0"/>
              <w:spacing w:after="0"/>
              <w:rPr>
                <w:rFonts w:ascii="Times New Roman" w:hAnsi="Times New Roman"/>
                <w:szCs w:val="20"/>
                <w:lang w:val="en-GB"/>
              </w:rPr>
            </w:pPr>
            <w:r w:rsidRPr="0029659D">
              <w:rPr>
                <w:rFonts w:ascii="Times New Roman" w:hAnsi="Times New Roman"/>
                <w:szCs w:val="20"/>
                <w:lang w:val="en-GB"/>
              </w:rPr>
              <w:t>Proposal 9: Signaling initial estimate of Doppler shift by a gNB to a UE could be considered for high Doppler shift in NTN systems.</w:t>
            </w:r>
          </w:p>
        </w:tc>
      </w:tr>
      <w:tr w:rsidR="00DF3183" w:rsidRPr="0029659D" w14:paraId="698848AF" w14:textId="77777777" w:rsidTr="009F01EA">
        <w:trPr>
          <w:trHeight w:val="400"/>
          <w:jc w:val="center"/>
        </w:trPr>
        <w:tc>
          <w:tcPr>
            <w:tcW w:w="0" w:type="auto"/>
            <w:shd w:val="clear" w:color="auto" w:fill="auto"/>
            <w:vAlign w:val="center"/>
            <w:hideMark/>
          </w:tcPr>
          <w:p w14:paraId="6DD04131" w14:textId="77777777" w:rsidR="00DF3183" w:rsidRPr="0029659D" w:rsidRDefault="0055630A" w:rsidP="00B94F95">
            <w:pPr>
              <w:snapToGrid w:val="0"/>
              <w:spacing w:after="0"/>
              <w:jc w:val="center"/>
            </w:pPr>
            <w:hyperlink r:id="rId19" w:history="1">
              <w:r w:rsidR="00DF3183" w:rsidRPr="0029659D">
                <w:t>R1-1908591</w:t>
              </w:r>
            </w:hyperlink>
          </w:p>
          <w:p w14:paraId="6961F6F3" w14:textId="77777777" w:rsidR="00DF3183" w:rsidRPr="0029659D" w:rsidRDefault="00DF3183" w:rsidP="00B94F95">
            <w:pPr>
              <w:snapToGrid w:val="0"/>
              <w:spacing w:after="0"/>
              <w:jc w:val="center"/>
            </w:pPr>
            <w:r w:rsidRPr="0029659D">
              <w:t>CATT, CAICT</w:t>
            </w:r>
          </w:p>
        </w:tc>
        <w:tc>
          <w:tcPr>
            <w:tcW w:w="0" w:type="auto"/>
            <w:vAlign w:val="center"/>
          </w:tcPr>
          <w:p w14:paraId="62D4BAC0" w14:textId="77777777" w:rsidR="007152C7" w:rsidRPr="0029659D" w:rsidRDefault="007152C7" w:rsidP="00B94F95">
            <w:pPr>
              <w:snapToGrid w:val="0"/>
              <w:spacing w:after="0"/>
            </w:pPr>
            <w:r w:rsidRPr="0029659D">
              <w:t>Observation 1: DL frequency pre-compensation for satellite Doppler shift is transparent to UE.</w:t>
            </w:r>
          </w:p>
          <w:p w14:paraId="160D3830" w14:textId="77777777" w:rsidR="007152C7" w:rsidRPr="0029659D" w:rsidRDefault="007152C7" w:rsidP="00B94F95">
            <w:pPr>
              <w:snapToGrid w:val="0"/>
              <w:spacing w:after="0"/>
            </w:pPr>
            <w:r w:rsidRPr="0029659D">
              <w:t xml:space="preserve">Observation 2: DL synchronization channel design of NR Rel-15 is robust to fit for NTN scenarios.  </w:t>
            </w:r>
          </w:p>
          <w:p w14:paraId="14313426" w14:textId="77777777" w:rsidR="007152C7" w:rsidRPr="0029659D" w:rsidRDefault="007152C7" w:rsidP="00B94F95">
            <w:pPr>
              <w:snapToGrid w:val="0"/>
              <w:spacing w:after="0"/>
            </w:pPr>
            <w:r w:rsidRPr="0029659D">
              <w:t>Observation 3: Close-loop UL frequency compensation is not clear for its benefit and use case.</w:t>
            </w:r>
          </w:p>
          <w:p w14:paraId="3EAA5DD0" w14:textId="77777777" w:rsidR="007152C7" w:rsidRPr="0029659D" w:rsidRDefault="007152C7" w:rsidP="00B94F95">
            <w:pPr>
              <w:snapToGrid w:val="0"/>
              <w:spacing w:after="0"/>
            </w:pPr>
            <w:r w:rsidRPr="0029659D">
              <w:t xml:space="preserve">Observation 4: In the Random access without GNSS-capabilities, the common TA can be obtained from network and UE specific TA can be obtained from RA response message. </w:t>
            </w:r>
          </w:p>
          <w:p w14:paraId="28DDBD65" w14:textId="77777777" w:rsidR="007152C7" w:rsidRPr="0029659D" w:rsidRDefault="007152C7" w:rsidP="00B94F95">
            <w:pPr>
              <w:snapToGrid w:val="0"/>
              <w:spacing w:after="0"/>
            </w:pPr>
            <w:r w:rsidRPr="0029659D">
              <w:t>Observation 5: In the Random access without GNSS-capabilities, the PRACH format design need take into account the longer CP and higher SCS both.</w:t>
            </w:r>
          </w:p>
          <w:p w14:paraId="5DB79472" w14:textId="77777777" w:rsidR="007152C7" w:rsidRPr="0029659D" w:rsidRDefault="007152C7" w:rsidP="00B94F95">
            <w:pPr>
              <w:snapToGrid w:val="0"/>
              <w:spacing w:after="0"/>
            </w:pPr>
            <w:r w:rsidRPr="0029659D">
              <w:t xml:space="preserve">Observation 6: In the TA compensation of random access without GNSS-capabilities, besides the absolute TA compensation, relative TA compensation is also feasible because the common TA can be compensated by the gNB. </w:t>
            </w:r>
          </w:p>
          <w:p w14:paraId="66C6C190" w14:textId="77777777" w:rsidR="007152C7" w:rsidRPr="0029659D" w:rsidRDefault="007152C7" w:rsidP="00B94F95">
            <w:pPr>
              <w:snapToGrid w:val="0"/>
              <w:spacing w:after="0"/>
            </w:pPr>
            <w:r w:rsidRPr="0029659D">
              <w:t>Observation 7: In the Random access with GNSS-capabilities, a common reference distance in service link is used to UE specific TA calculation.</w:t>
            </w:r>
          </w:p>
          <w:p w14:paraId="71FC9D95" w14:textId="77777777" w:rsidR="007152C7" w:rsidRPr="0029659D" w:rsidRDefault="007152C7" w:rsidP="00B94F95">
            <w:pPr>
              <w:snapToGrid w:val="0"/>
              <w:spacing w:after="0"/>
            </w:pPr>
            <w:r w:rsidRPr="0029659D">
              <w:t xml:space="preserve">Observation 8: In the Random access with GNSS-capabilities, a common reference distance in service link and a common reference distance in feeder link can be indicated by the network, or by proprietary implementation to acquire.  </w:t>
            </w:r>
          </w:p>
          <w:p w14:paraId="03364908" w14:textId="77777777" w:rsidR="007152C7" w:rsidRPr="0029659D" w:rsidRDefault="007152C7" w:rsidP="00B94F95">
            <w:pPr>
              <w:snapToGrid w:val="0"/>
              <w:spacing w:after="0"/>
            </w:pPr>
            <w:r w:rsidRPr="0029659D">
              <w:t>Observation 9: In the Random access with GNSS-capabilities, relative TA compensation is more suitable, where common reference TA can be compensated by the gNB, and relative TA is compensated by the UE.</w:t>
            </w:r>
          </w:p>
          <w:p w14:paraId="549C5A99" w14:textId="77777777" w:rsidR="007152C7" w:rsidRPr="0029659D" w:rsidRDefault="007152C7" w:rsidP="00B94F95">
            <w:pPr>
              <w:snapToGrid w:val="0"/>
              <w:spacing w:after="0"/>
            </w:pPr>
            <w:r w:rsidRPr="0029659D">
              <w:t>Observation 10: In the Random access with GNSS-capabilities, the CP of PRACH doesn’t cover the whole cell radius.</w:t>
            </w:r>
          </w:p>
          <w:p w14:paraId="0D4C7D40" w14:textId="77777777" w:rsidR="007152C7" w:rsidRPr="0029659D" w:rsidRDefault="007152C7" w:rsidP="00B94F95">
            <w:pPr>
              <w:snapToGrid w:val="0"/>
              <w:spacing w:after="0"/>
            </w:pPr>
            <w:r w:rsidRPr="0029659D">
              <w:lastRenderedPageBreak/>
              <w:t>Observation 11: NR Rel-15 PRACH format is robust to survive in different frequency offset of NTN.</w:t>
            </w:r>
          </w:p>
          <w:p w14:paraId="4A6DA650" w14:textId="77777777" w:rsidR="007152C7" w:rsidRPr="0029659D" w:rsidRDefault="007152C7" w:rsidP="00B94F95">
            <w:pPr>
              <w:snapToGrid w:val="0"/>
              <w:spacing w:after="0"/>
            </w:pPr>
            <w:r w:rsidRPr="0029659D">
              <w:t>Observation 12: PRACH sequence with length-839 is better than the sequence with length-139 in low SNR case.</w:t>
            </w:r>
          </w:p>
          <w:p w14:paraId="6230F17C" w14:textId="17A6BBCC" w:rsidR="007152C7" w:rsidRPr="0029659D" w:rsidRDefault="007152C7" w:rsidP="00B94F95">
            <w:pPr>
              <w:snapToGrid w:val="0"/>
              <w:spacing w:after="0"/>
            </w:pPr>
            <w:r w:rsidRPr="0029659D">
              <w:t xml:space="preserve">Observation 13: If considering the location and ephemeris error, longer CP more than one symbol needs to be considered.  </w:t>
            </w:r>
          </w:p>
          <w:p w14:paraId="0AACFA17" w14:textId="77777777" w:rsidR="007152C7" w:rsidRPr="0029659D" w:rsidRDefault="007152C7" w:rsidP="00B94F95">
            <w:pPr>
              <w:snapToGrid w:val="0"/>
              <w:spacing w:after="0"/>
            </w:pPr>
            <w:r w:rsidRPr="0029659D">
              <w:t xml:space="preserve">Proposal 1: Indicate if UL common frequency post-compensation has been done in the network via the SIB signaling. </w:t>
            </w:r>
          </w:p>
          <w:p w14:paraId="2903083E" w14:textId="77777777" w:rsidR="007152C7" w:rsidRPr="0029659D" w:rsidRDefault="007152C7" w:rsidP="00B94F95">
            <w:pPr>
              <w:autoSpaceDE/>
              <w:autoSpaceDN/>
              <w:snapToGrid w:val="0"/>
              <w:spacing w:after="0"/>
            </w:pPr>
            <w:r w:rsidRPr="0029659D">
              <w:t>Proposal 2: Using UE location and satellite ephemeris to conduct UL frequency pre-compensation should be taken as the baseline.</w:t>
            </w:r>
          </w:p>
          <w:p w14:paraId="745FFBBA" w14:textId="77777777" w:rsidR="007152C7" w:rsidRPr="0029659D" w:rsidRDefault="007152C7" w:rsidP="00B94F95">
            <w:pPr>
              <w:snapToGrid w:val="0"/>
              <w:spacing w:after="0"/>
            </w:pPr>
            <w:r w:rsidRPr="0029659D">
              <w:t>Propose 3: Further study the benefit of close-loop doppler shift compensation.</w:t>
            </w:r>
          </w:p>
          <w:p w14:paraId="2148FA2B" w14:textId="77777777" w:rsidR="007152C7" w:rsidRPr="0029659D" w:rsidRDefault="007152C7" w:rsidP="00B94F95">
            <w:pPr>
              <w:snapToGrid w:val="0"/>
              <w:spacing w:after="0"/>
            </w:pPr>
            <w:r w:rsidRPr="0029659D">
              <w:t xml:space="preserve">Proposal 4: In Random access without GNSS-capabilities, common TA can be indicated by network to facilitate the PRACH transmission. </w:t>
            </w:r>
          </w:p>
          <w:p w14:paraId="07B2172B" w14:textId="77777777" w:rsidR="007152C7" w:rsidRPr="0029659D" w:rsidRDefault="007152C7" w:rsidP="00B94F95">
            <w:pPr>
              <w:snapToGrid w:val="0"/>
              <w:spacing w:after="0"/>
            </w:pPr>
            <w:r w:rsidRPr="0029659D">
              <w:t>Proposal 5: In Random access with GNSS-capabilities, a common reference point or reference distance in service link should be specified for UE specific TA calculation.</w:t>
            </w:r>
          </w:p>
          <w:p w14:paraId="562F9467" w14:textId="77777777" w:rsidR="007152C7" w:rsidRPr="0029659D" w:rsidRDefault="007152C7" w:rsidP="00B94F95">
            <w:pPr>
              <w:snapToGrid w:val="0"/>
              <w:spacing w:after="0"/>
            </w:pPr>
            <w:r w:rsidRPr="0029659D">
              <w:t>Proposal 6: Relative TA compensation needs to be considered in both with and without GNSS-capabilities.</w:t>
            </w:r>
          </w:p>
          <w:p w14:paraId="7A5D0DB4" w14:textId="77777777" w:rsidR="007152C7" w:rsidRPr="0029659D" w:rsidRDefault="007152C7" w:rsidP="00B94F95">
            <w:pPr>
              <w:snapToGrid w:val="0"/>
              <w:spacing w:after="0"/>
            </w:pPr>
            <w:r w:rsidRPr="0029659D">
              <w:t xml:space="preserve">Proposal 7: Differentiate the PRACH format design for with UE location information and without UE location information. </w:t>
            </w:r>
          </w:p>
          <w:p w14:paraId="5EE3ADDF" w14:textId="77777777" w:rsidR="007152C7" w:rsidRPr="0029659D" w:rsidRDefault="007152C7" w:rsidP="00B94F95">
            <w:pPr>
              <w:snapToGrid w:val="0"/>
              <w:spacing w:after="0"/>
            </w:pPr>
            <w:r w:rsidRPr="0029659D">
              <w:t>Proposal 8: Consider the sequence with the length 839 to support big subcarrier spacing in NTN PRACH format design.</w:t>
            </w:r>
          </w:p>
          <w:p w14:paraId="5F922B09" w14:textId="77777777" w:rsidR="007152C7" w:rsidRPr="0029659D" w:rsidRDefault="007152C7" w:rsidP="00B94F95">
            <w:pPr>
              <w:snapToGrid w:val="0"/>
              <w:spacing w:after="0"/>
            </w:pPr>
            <w:r w:rsidRPr="0029659D">
              <w:t>Proposal 9: Consider preamble repetition to overcome the larger timing offset in NTN case.</w:t>
            </w:r>
          </w:p>
          <w:p w14:paraId="6E4BB5BF" w14:textId="727F448B" w:rsidR="00DF3183" w:rsidRPr="0029659D" w:rsidRDefault="007152C7" w:rsidP="00B94F95">
            <w:pPr>
              <w:snapToGrid w:val="0"/>
              <w:spacing w:after="0"/>
            </w:pPr>
            <w:r w:rsidRPr="0029659D">
              <w:t xml:space="preserve">Proposal 10: Support open-loop TA compensation in NTN scenarios. </w:t>
            </w:r>
          </w:p>
        </w:tc>
      </w:tr>
      <w:tr w:rsidR="00DF3183" w:rsidRPr="0029659D" w14:paraId="6B7B8C57" w14:textId="77777777" w:rsidTr="009F01EA">
        <w:trPr>
          <w:trHeight w:val="400"/>
          <w:jc w:val="center"/>
        </w:trPr>
        <w:tc>
          <w:tcPr>
            <w:tcW w:w="0" w:type="auto"/>
            <w:shd w:val="clear" w:color="auto" w:fill="auto"/>
            <w:vAlign w:val="center"/>
            <w:hideMark/>
          </w:tcPr>
          <w:p w14:paraId="2C595BC9" w14:textId="77777777" w:rsidR="00DF3183" w:rsidRPr="0029659D" w:rsidRDefault="0055630A" w:rsidP="00B94F95">
            <w:pPr>
              <w:snapToGrid w:val="0"/>
              <w:spacing w:after="0"/>
              <w:jc w:val="center"/>
            </w:pPr>
            <w:hyperlink r:id="rId20" w:history="1">
              <w:r w:rsidR="00DF3183" w:rsidRPr="0029659D">
                <w:t>R1-1908643</w:t>
              </w:r>
            </w:hyperlink>
          </w:p>
          <w:p w14:paraId="7B22EB4F" w14:textId="77777777" w:rsidR="00DF3183" w:rsidRPr="0029659D" w:rsidRDefault="00DF3183" w:rsidP="00B94F95">
            <w:pPr>
              <w:snapToGrid w:val="0"/>
              <w:spacing w:after="0"/>
              <w:jc w:val="center"/>
            </w:pPr>
            <w:r w:rsidRPr="0029659D">
              <w:t>Intel</w:t>
            </w:r>
          </w:p>
        </w:tc>
        <w:tc>
          <w:tcPr>
            <w:tcW w:w="0" w:type="auto"/>
            <w:vAlign w:val="center"/>
          </w:tcPr>
          <w:p w14:paraId="715A5FEA" w14:textId="77777777" w:rsidR="007152C7" w:rsidRPr="0029659D" w:rsidRDefault="007152C7" w:rsidP="00B94F95">
            <w:pPr>
              <w:snapToGrid w:val="0"/>
              <w:spacing w:after="0"/>
              <w:jc w:val="both"/>
            </w:pPr>
            <w:r w:rsidRPr="0029659D">
              <w:t xml:space="preserve">Proposal 1: </w:t>
            </w:r>
          </w:p>
          <w:p w14:paraId="331E96D5"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Consider equation for carrier frequency shift for UL transmission and table with values of maximum frequency shift for UL transmission provided in R1-1908641 for PRACH</w:t>
            </w:r>
          </w:p>
          <w:p w14:paraId="378D48EA" w14:textId="77777777" w:rsidR="007152C7" w:rsidRPr="0029659D" w:rsidRDefault="007152C7" w:rsidP="00B94F95">
            <w:pPr>
              <w:snapToGrid w:val="0"/>
              <w:spacing w:after="0"/>
              <w:jc w:val="both"/>
            </w:pPr>
            <w:r w:rsidRPr="0029659D">
              <w:t xml:space="preserve">Observation 1: </w:t>
            </w:r>
          </w:p>
          <w:p w14:paraId="42330330" w14:textId="77777777" w:rsidR="007152C7" w:rsidRPr="0029659D" w:rsidRDefault="007152C7" w:rsidP="00207430">
            <w:pPr>
              <w:numPr>
                <w:ilvl w:val="0"/>
                <w:numId w:val="23"/>
              </w:numPr>
              <w:overflowPunct/>
              <w:autoSpaceDE/>
              <w:autoSpaceDN/>
              <w:snapToGrid w:val="0"/>
              <w:spacing w:after="0"/>
              <w:jc w:val="both"/>
              <w:textAlignment w:val="auto"/>
            </w:pPr>
            <w:r w:rsidRPr="0029659D">
              <w:t>Delays up to the PRACH OFDM signal duration can be estimated by the conventional PRACH receivers without ambiguity, for larger delays different receiver structure is needed</w:t>
            </w:r>
          </w:p>
          <w:p w14:paraId="3A0E1B89" w14:textId="77777777" w:rsidR="007152C7" w:rsidRPr="0029659D" w:rsidRDefault="007152C7" w:rsidP="00B94F95">
            <w:pPr>
              <w:snapToGrid w:val="0"/>
              <w:spacing w:after="0"/>
              <w:jc w:val="both"/>
            </w:pPr>
            <w:r w:rsidRPr="0029659D">
              <w:t xml:space="preserve">Proposal 2: </w:t>
            </w:r>
          </w:p>
          <w:p w14:paraId="4A431B1B"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Study solutions to support unambiguous estimation of delays larger than PRACH symbol duration</w:t>
            </w:r>
          </w:p>
          <w:p w14:paraId="0B73A777" w14:textId="77777777" w:rsidR="007152C7" w:rsidRPr="0029659D" w:rsidRDefault="007152C7" w:rsidP="00B94F95">
            <w:pPr>
              <w:snapToGrid w:val="0"/>
              <w:spacing w:after="0"/>
              <w:jc w:val="both"/>
            </w:pPr>
            <w:r w:rsidRPr="0029659D">
              <w:t xml:space="preserve">Observation 2: </w:t>
            </w:r>
          </w:p>
          <w:p w14:paraId="6EEC2CBC"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It is not necessary to scale CP and GP duration according to the target maximum differential delay supported by PRACH</w:t>
            </w:r>
          </w:p>
          <w:p w14:paraId="757D2473" w14:textId="77777777" w:rsidR="007152C7" w:rsidRPr="0029659D" w:rsidRDefault="007152C7" w:rsidP="00B94F95">
            <w:pPr>
              <w:snapToGrid w:val="0"/>
              <w:spacing w:after="0"/>
              <w:jc w:val="both"/>
            </w:pPr>
            <w:r w:rsidRPr="0029659D">
              <w:t xml:space="preserve">Observation 3: </w:t>
            </w:r>
          </w:p>
          <w:p w14:paraId="5CEC4F3B"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The range of the initial TA command in RAR should be extended for NTN</w:t>
            </w:r>
          </w:p>
          <w:p w14:paraId="70A86339" w14:textId="77777777" w:rsidR="007152C7" w:rsidRPr="0029659D" w:rsidRDefault="007152C7" w:rsidP="00B94F95">
            <w:pPr>
              <w:snapToGrid w:val="0"/>
              <w:spacing w:after="0"/>
              <w:jc w:val="both"/>
            </w:pPr>
            <w:r w:rsidRPr="0029659D">
              <w:t>Observation 4:</w:t>
            </w:r>
          </w:p>
          <w:p w14:paraId="06F364EA"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The range of slot offset K2 specified in the default table for PUSCH time domain resource allocation might be not enough to cover UE processing time and timing advance value for NTN</w:t>
            </w:r>
          </w:p>
          <w:p w14:paraId="42732B5E" w14:textId="77777777" w:rsidR="007152C7" w:rsidRPr="0029659D" w:rsidRDefault="007152C7" w:rsidP="00B94F95">
            <w:pPr>
              <w:snapToGrid w:val="0"/>
              <w:spacing w:after="0"/>
              <w:jc w:val="both"/>
            </w:pPr>
            <w:r w:rsidRPr="0029659D">
              <w:t xml:space="preserve">Proposal 3: </w:t>
            </w:r>
          </w:p>
          <w:p w14:paraId="57537E21" w14:textId="77777777" w:rsidR="007152C7" w:rsidRPr="0029659D" w:rsidRDefault="007152C7" w:rsidP="00207430">
            <w:pPr>
              <w:pStyle w:val="ListParagraph"/>
              <w:numPr>
                <w:ilvl w:val="0"/>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Study the following enhancements to support larger cell size for NTN</w:t>
            </w:r>
          </w:p>
          <w:p w14:paraId="391A8EAE" w14:textId="77777777" w:rsidR="007152C7" w:rsidRPr="0029659D" w:rsidRDefault="007152C7" w:rsidP="00207430">
            <w:pPr>
              <w:pStyle w:val="ListParagraph"/>
              <w:numPr>
                <w:ilvl w:val="1"/>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Extended range of timing advance command in random access response</w:t>
            </w:r>
          </w:p>
          <w:p w14:paraId="05AA25DF" w14:textId="04752EFF" w:rsidR="00DF3183" w:rsidRPr="0029659D" w:rsidRDefault="007152C7" w:rsidP="00207430">
            <w:pPr>
              <w:pStyle w:val="ListParagraph"/>
              <w:numPr>
                <w:ilvl w:val="1"/>
                <w:numId w:val="23"/>
              </w:numPr>
              <w:adjustRightInd w:val="0"/>
              <w:snapToGrid w:val="0"/>
              <w:jc w:val="both"/>
              <w:rPr>
                <w:rFonts w:ascii="Times New Roman" w:eastAsia="宋体" w:hAnsi="Times New Roman"/>
                <w:sz w:val="20"/>
                <w:szCs w:val="20"/>
                <w:lang w:val="en-GB"/>
              </w:rPr>
            </w:pPr>
            <w:r w:rsidRPr="0029659D">
              <w:rPr>
                <w:rFonts w:ascii="Times New Roman" w:eastAsia="宋体" w:hAnsi="Times New Roman"/>
                <w:sz w:val="20"/>
                <w:szCs w:val="20"/>
                <w:lang w:val="en-GB"/>
              </w:rPr>
              <w:t>Support of larger values for slot offset K2 between DCI with UL grant and the corresponding PUSCH for DCI format 0_0</w:t>
            </w:r>
          </w:p>
        </w:tc>
      </w:tr>
      <w:tr w:rsidR="00DF3183" w:rsidRPr="0029659D" w14:paraId="66AF491F" w14:textId="77777777" w:rsidTr="009F01EA">
        <w:trPr>
          <w:trHeight w:val="400"/>
          <w:jc w:val="center"/>
        </w:trPr>
        <w:tc>
          <w:tcPr>
            <w:tcW w:w="0" w:type="auto"/>
            <w:shd w:val="clear" w:color="auto" w:fill="auto"/>
            <w:vAlign w:val="center"/>
            <w:hideMark/>
          </w:tcPr>
          <w:p w14:paraId="7DC3C583" w14:textId="77777777" w:rsidR="00DF3183" w:rsidRPr="0029659D" w:rsidRDefault="0055630A" w:rsidP="00B94F95">
            <w:pPr>
              <w:snapToGrid w:val="0"/>
              <w:spacing w:after="0"/>
              <w:jc w:val="center"/>
            </w:pPr>
            <w:hyperlink r:id="rId21" w:history="1">
              <w:r w:rsidR="00DF3183" w:rsidRPr="0029659D">
                <w:t>R1-1908674</w:t>
              </w:r>
            </w:hyperlink>
          </w:p>
          <w:p w14:paraId="5A7D1F9C" w14:textId="2CCAA78D" w:rsidR="00960BCE" w:rsidRPr="0029659D" w:rsidRDefault="00DF3183" w:rsidP="00B94F95">
            <w:pPr>
              <w:snapToGrid w:val="0"/>
              <w:spacing w:after="0"/>
              <w:jc w:val="center"/>
            </w:pPr>
            <w:r w:rsidRPr="0029659D">
              <w:t>Mitsubishi</w:t>
            </w:r>
          </w:p>
          <w:p w14:paraId="758A8936" w14:textId="77777777" w:rsidR="00DF3183" w:rsidRPr="0029659D" w:rsidRDefault="00DF3183" w:rsidP="00960BCE"/>
        </w:tc>
        <w:tc>
          <w:tcPr>
            <w:tcW w:w="0" w:type="auto"/>
            <w:vAlign w:val="center"/>
          </w:tcPr>
          <w:p w14:paraId="4BBBE1C5" w14:textId="77777777" w:rsidR="007152C7" w:rsidRPr="0029659D" w:rsidRDefault="007152C7" w:rsidP="00B94F95">
            <w:pPr>
              <w:snapToGrid w:val="0"/>
              <w:spacing w:after="0"/>
            </w:pPr>
            <w:r w:rsidRPr="0029659D">
              <w:t>Observation 1: For the DL, the existence of a scenario with a residual Doppler shift after pre-compensation higher than 5 ppm should be investigated.</w:t>
            </w:r>
          </w:p>
          <w:p w14:paraId="01D12D32" w14:textId="77777777" w:rsidR="007152C7" w:rsidRPr="0029659D" w:rsidRDefault="007152C7" w:rsidP="00B94F95">
            <w:pPr>
              <w:snapToGrid w:val="0"/>
              <w:spacing w:after="0"/>
            </w:pPr>
            <w:r w:rsidRPr="0029659D">
              <w:t xml:space="preserve">Observation 2: For an accurate UL frequency correction, the UE must be aware of the pre-compensation value. </w:t>
            </w:r>
          </w:p>
          <w:p w14:paraId="50BF767C" w14:textId="77777777" w:rsidR="007152C7" w:rsidRPr="0029659D" w:rsidRDefault="007152C7" w:rsidP="00B94F95">
            <w:pPr>
              <w:snapToGrid w:val="0"/>
              <w:spacing w:after="0"/>
            </w:pPr>
            <w:r w:rsidRPr="0029659D">
              <w:t xml:space="preserve">Observation 3: It is not assumed that all UEs will have GNSS capabilities. Moreover, even UE equipped with GNSS can be temporarily unable to get their position correctly. </w:t>
            </w:r>
          </w:p>
          <w:p w14:paraId="5C314A0A" w14:textId="77777777" w:rsidR="007152C7" w:rsidRPr="0029659D" w:rsidRDefault="007152C7" w:rsidP="00B94F95">
            <w:pPr>
              <w:snapToGrid w:val="0"/>
              <w:spacing w:after="0"/>
            </w:pPr>
            <w:r w:rsidRPr="0029659D">
              <w:t xml:space="preserve">Proposal 1: The common DL frequency correction should be broadcasted to all users within the coverage of same beam. </w:t>
            </w:r>
          </w:p>
          <w:p w14:paraId="69F24E0D" w14:textId="77777777" w:rsidR="007152C7" w:rsidRPr="0029659D" w:rsidRDefault="007152C7" w:rsidP="00B94F95">
            <w:pPr>
              <w:snapToGrid w:val="0"/>
              <w:spacing w:after="0"/>
            </w:pPr>
            <w:r w:rsidRPr="0029659D">
              <w:t>Proposal 2: The common TA should be broadcasted to all users within the coverage of same beam.</w:t>
            </w:r>
          </w:p>
          <w:p w14:paraId="0FA9428F" w14:textId="77777777" w:rsidR="007152C7" w:rsidRPr="0029659D" w:rsidRDefault="007152C7" w:rsidP="00B94F95">
            <w:pPr>
              <w:snapToGrid w:val="0"/>
              <w:spacing w:after="0"/>
            </w:pPr>
            <w:r w:rsidRPr="0029659D">
              <w:t xml:space="preserve">Proposal 3: For TA maintenance, the closed-loop solution should be kept. </w:t>
            </w:r>
          </w:p>
          <w:p w14:paraId="0D32889B" w14:textId="09079F41" w:rsidR="00DF3183" w:rsidRPr="0029659D" w:rsidRDefault="007152C7" w:rsidP="00B94F95">
            <w:pPr>
              <w:snapToGrid w:val="0"/>
              <w:spacing w:after="0"/>
            </w:pPr>
            <w:r w:rsidRPr="0029659D">
              <w:t xml:space="preserve">Proposal 4: Study on a new PRACH format should be considered for NTN. </w:t>
            </w:r>
          </w:p>
        </w:tc>
      </w:tr>
      <w:tr w:rsidR="00DF3183" w:rsidRPr="0029659D" w14:paraId="166F0970" w14:textId="77777777" w:rsidTr="009F01EA">
        <w:trPr>
          <w:trHeight w:val="400"/>
          <w:jc w:val="center"/>
        </w:trPr>
        <w:tc>
          <w:tcPr>
            <w:tcW w:w="0" w:type="auto"/>
            <w:shd w:val="clear" w:color="auto" w:fill="auto"/>
            <w:vAlign w:val="center"/>
            <w:hideMark/>
          </w:tcPr>
          <w:p w14:paraId="6D95078C" w14:textId="77777777" w:rsidR="00DF3183" w:rsidRPr="0029659D" w:rsidRDefault="0055630A" w:rsidP="00B94F95">
            <w:pPr>
              <w:snapToGrid w:val="0"/>
              <w:spacing w:after="0"/>
              <w:jc w:val="center"/>
            </w:pPr>
            <w:hyperlink r:id="rId22" w:history="1">
              <w:r w:rsidR="00DF3183" w:rsidRPr="0029659D">
                <w:t>R1-1908775</w:t>
              </w:r>
            </w:hyperlink>
          </w:p>
          <w:p w14:paraId="094F652C" w14:textId="77777777" w:rsidR="00DF3183" w:rsidRPr="0029659D" w:rsidRDefault="00DF3183" w:rsidP="00B94F95">
            <w:pPr>
              <w:snapToGrid w:val="0"/>
              <w:spacing w:after="0"/>
              <w:jc w:val="center"/>
            </w:pPr>
            <w:r w:rsidRPr="0029659D">
              <w:t>Sony</w:t>
            </w:r>
          </w:p>
        </w:tc>
        <w:tc>
          <w:tcPr>
            <w:tcW w:w="0" w:type="auto"/>
            <w:vAlign w:val="center"/>
          </w:tcPr>
          <w:p w14:paraId="1D301D77" w14:textId="77777777" w:rsidR="007152C7" w:rsidRPr="0029659D" w:rsidRDefault="007152C7" w:rsidP="00B94F95">
            <w:pPr>
              <w:snapToGrid w:val="0"/>
              <w:spacing w:after="0"/>
            </w:pPr>
            <w:r w:rsidRPr="0029659D">
              <w:t>Observation 1: The guard time following the RACH preamble transmission in NTN will be much larger than for terrestrial networks.</w:t>
            </w:r>
          </w:p>
          <w:p w14:paraId="59E70D6F" w14:textId="77777777" w:rsidR="007152C7" w:rsidRPr="0029659D" w:rsidRDefault="007152C7" w:rsidP="00B94F95">
            <w:pPr>
              <w:snapToGrid w:val="0"/>
              <w:spacing w:after="0"/>
            </w:pPr>
            <w:r w:rsidRPr="0029659D">
              <w:t>Proposal 1: RAN1 should study the restriction of using only 2-step RACH for delay sensitive RACH uses cases.</w:t>
            </w:r>
          </w:p>
          <w:p w14:paraId="0FFB45CD" w14:textId="77777777" w:rsidR="007152C7" w:rsidRPr="0029659D" w:rsidRDefault="007152C7" w:rsidP="00B94F95">
            <w:pPr>
              <w:snapToGrid w:val="0"/>
              <w:spacing w:after="0"/>
              <w:jc w:val="both"/>
            </w:pPr>
            <w:r w:rsidRPr="0029659D">
              <w:lastRenderedPageBreak/>
              <w:t>Proposal 2: Prediction-based timing advance adjustment using information related to the position of gNB and UE should be studied.</w:t>
            </w:r>
          </w:p>
          <w:p w14:paraId="35B18138" w14:textId="77777777" w:rsidR="007152C7" w:rsidRPr="0029659D" w:rsidRDefault="007152C7" w:rsidP="00B94F95">
            <w:pPr>
              <w:snapToGrid w:val="0"/>
              <w:spacing w:after="0"/>
              <w:jc w:val="both"/>
            </w:pPr>
            <w:r w:rsidRPr="0029659D">
              <w:t>Proposal 3: Uplink transmission timing interval should be studied for the following:</w:t>
            </w:r>
          </w:p>
          <w:p w14:paraId="75B72093" w14:textId="77777777" w:rsidR="007152C7" w:rsidRPr="0029659D" w:rsidRDefault="007152C7" w:rsidP="00207430">
            <w:pPr>
              <w:numPr>
                <w:ilvl w:val="0"/>
                <w:numId w:val="24"/>
              </w:numPr>
              <w:overflowPunct/>
              <w:autoSpaceDE/>
              <w:autoSpaceDN/>
              <w:snapToGrid w:val="0"/>
              <w:spacing w:after="0"/>
              <w:jc w:val="both"/>
              <w:textAlignment w:val="auto"/>
            </w:pPr>
            <w:r w:rsidRPr="0029659D">
              <w:t>PDCCH (resource grant) to PUSCH</w:t>
            </w:r>
          </w:p>
          <w:p w14:paraId="45E8FE42" w14:textId="2889600E" w:rsidR="00DF3183" w:rsidRPr="0029659D" w:rsidRDefault="007152C7" w:rsidP="00207430">
            <w:pPr>
              <w:numPr>
                <w:ilvl w:val="0"/>
                <w:numId w:val="24"/>
              </w:numPr>
              <w:overflowPunct/>
              <w:autoSpaceDE/>
              <w:autoSpaceDN/>
              <w:snapToGrid w:val="0"/>
              <w:spacing w:after="0"/>
              <w:jc w:val="both"/>
              <w:textAlignment w:val="auto"/>
            </w:pPr>
            <w:r w:rsidRPr="0029659D">
              <w:t>PDSCH to PUCCH (HARQ-ACK)</w:t>
            </w:r>
          </w:p>
        </w:tc>
      </w:tr>
      <w:tr w:rsidR="00EB05DB" w:rsidRPr="0029659D" w14:paraId="2797AC09" w14:textId="77777777" w:rsidTr="009F01EA">
        <w:trPr>
          <w:trHeight w:val="400"/>
          <w:jc w:val="center"/>
        </w:trPr>
        <w:tc>
          <w:tcPr>
            <w:tcW w:w="0" w:type="auto"/>
            <w:shd w:val="clear" w:color="auto" w:fill="auto"/>
            <w:vAlign w:val="center"/>
          </w:tcPr>
          <w:p w14:paraId="23B2CCE5" w14:textId="4DFB8193" w:rsidR="00EB05DB" w:rsidRPr="0029659D" w:rsidRDefault="0055630A" w:rsidP="00B94F95">
            <w:pPr>
              <w:snapToGrid w:val="0"/>
              <w:spacing w:after="0"/>
              <w:jc w:val="center"/>
            </w:pPr>
            <w:hyperlink r:id="rId23" w:history="1">
              <w:r w:rsidR="00EB05DB" w:rsidRPr="0029659D">
                <w:t>R1-1908774</w:t>
              </w:r>
            </w:hyperlink>
          </w:p>
          <w:p w14:paraId="2D3A1B22" w14:textId="36D5F7FC" w:rsidR="00EB05DB" w:rsidRPr="0029659D" w:rsidRDefault="00EB05DB" w:rsidP="00B94F95">
            <w:pPr>
              <w:snapToGrid w:val="0"/>
              <w:spacing w:after="0"/>
              <w:jc w:val="center"/>
            </w:pPr>
            <w:r w:rsidRPr="0029659D">
              <w:t>Sony</w:t>
            </w:r>
          </w:p>
        </w:tc>
        <w:tc>
          <w:tcPr>
            <w:tcW w:w="0" w:type="auto"/>
            <w:vAlign w:val="center"/>
          </w:tcPr>
          <w:p w14:paraId="618A8F1A" w14:textId="77777777" w:rsidR="00EB05DB" w:rsidRPr="0029659D" w:rsidRDefault="00EB05DB" w:rsidP="00B94F95">
            <w:pPr>
              <w:snapToGrid w:val="0"/>
              <w:spacing w:after="0"/>
              <w:ind w:left="940" w:hangingChars="470" w:hanging="940"/>
              <w:jc w:val="both"/>
            </w:pPr>
            <w:r w:rsidRPr="0029659D">
              <w:t>Proposal 1: Power control procedure based on using the using satellite ephemeris should be studied.</w:t>
            </w:r>
          </w:p>
          <w:p w14:paraId="1BA0CC06" w14:textId="77777777" w:rsidR="00EB05DB" w:rsidRPr="0029659D" w:rsidRDefault="00EB05DB" w:rsidP="00B94F95">
            <w:pPr>
              <w:snapToGrid w:val="0"/>
              <w:spacing w:after="0"/>
              <w:ind w:left="940" w:hangingChars="470" w:hanging="940"/>
              <w:jc w:val="both"/>
            </w:pPr>
            <w:r w:rsidRPr="0029659D">
              <w:t>Proposal 2: RAN1 should support prediction-based link adaptation using information related to the position of gNB and UE.</w:t>
            </w:r>
          </w:p>
          <w:p w14:paraId="02BFCFCF" w14:textId="77777777" w:rsidR="00EB05DB" w:rsidRPr="0029659D" w:rsidRDefault="00EB05DB" w:rsidP="00B94F95">
            <w:pPr>
              <w:snapToGrid w:val="0"/>
              <w:spacing w:after="0"/>
              <w:ind w:left="940" w:hangingChars="470" w:hanging="940"/>
              <w:jc w:val="both"/>
            </w:pPr>
            <w:r w:rsidRPr="0029659D">
              <w:t>Proposal 3: Enhance of CQI reporting and/or MCS should be supported.</w:t>
            </w:r>
          </w:p>
          <w:p w14:paraId="1393F292" w14:textId="77777777" w:rsidR="00EB05DB" w:rsidRPr="0029659D" w:rsidRDefault="00EB05DB" w:rsidP="00B94F95">
            <w:pPr>
              <w:snapToGrid w:val="0"/>
              <w:spacing w:after="0"/>
              <w:ind w:left="940" w:hangingChars="470" w:hanging="940"/>
              <w:jc w:val="both"/>
            </w:pPr>
            <w:r w:rsidRPr="0029659D">
              <w:t>Proposal 4: Repetition transmission should be studied.</w:t>
            </w:r>
          </w:p>
          <w:p w14:paraId="2DCD91A0" w14:textId="77777777" w:rsidR="00EB05DB" w:rsidRPr="0029659D" w:rsidRDefault="00EB05DB" w:rsidP="00B94F95">
            <w:pPr>
              <w:snapToGrid w:val="0"/>
              <w:spacing w:after="0"/>
              <w:jc w:val="both"/>
            </w:pPr>
            <w:r w:rsidRPr="0029659D">
              <w:t>Observation 1: The residual doppler after pre/post-compensation is still too high for PBCH reception with 30kHz SCS.</w:t>
            </w:r>
          </w:p>
          <w:p w14:paraId="292FBDF8" w14:textId="56A648EE" w:rsidR="00EB05DB" w:rsidRPr="0029659D" w:rsidRDefault="00EB05DB" w:rsidP="00B94F95">
            <w:pPr>
              <w:snapToGrid w:val="0"/>
              <w:spacing w:after="0"/>
              <w:jc w:val="both"/>
            </w:pPr>
            <w:r w:rsidRPr="0029659D">
              <w:t>Proposal 5: RAN1 should consider allowing the use of higher SCS for the SSB in FR1.</w:t>
            </w:r>
          </w:p>
        </w:tc>
      </w:tr>
      <w:tr w:rsidR="00DF3183" w:rsidRPr="0029659D" w14:paraId="073E9C01" w14:textId="77777777" w:rsidTr="009F01EA">
        <w:trPr>
          <w:trHeight w:val="400"/>
          <w:jc w:val="center"/>
        </w:trPr>
        <w:tc>
          <w:tcPr>
            <w:tcW w:w="0" w:type="auto"/>
            <w:shd w:val="clear" w:color="auto" w:fill="auto"/>
            <w:vAlign w:val="center"/>
            <w:hideMark/>
          </w:tcPr>
          <w:p w14:paraId="3CC9D0E6" w14:textId="77777777" w:rsidR="00DF3183" w:rsidRPr="0029659D" w:rsidRDefault="0055630A" w:rsidP="00B94F95">
            <w:pPr>
              <w:snapToGrid w:val="0"/>
              <w:spacing w:after="0"/>
              <w:jc w:val="center"/>
            </w:pPr>
            <w:hyperlink r:id="rId24" w:history="1">
              <w:r w:rsidR="00DF3183" w:rsidRPr="0029659D">
                <w:t>R1-1908812</w:t>
              </w:r>
            </w:hyperlink>
          </w:p>
          <w:p w14:paraId="255FDEC6" w14:textId="77777777" w:rsidR="00DF3183" w:rsidRPr="0029659D" w:rsidRDefault="00DF3183" w:rsidP="00B94F95">
            <w:pPr>
              <w:snapToGrid w:val="0"/>
              <w:spacing w:after="0"/>
              <w:jc w:val="center"/>
            </w:pPr>
            <w:r w:rsidRPr="0029659D">
              <w:t>ETRI</w:t>
            </w:r>
          </w:p>
        </w:tc>
        <w:tc>
          <w:tcPr>
            <w:tcW w:w="0" w:type="auto"/>
            <w:vAlign w:val="center"/>
          </w:tcPr>
          <w:p w14:paraId="10631905" w14:textId="77777777" w:rsidR="007152C7" w:rsidRPr="0029659D" w:rsidRDefault="007152C7" w:rsidP="00B94F95">
            <w:pPr>
              <w:keepNext/>
              <w:keepLines/>
              <w:widowControl w:val="0"/>
              <w:tabs>
                <w:tab w:val="left" w:pos="1701"/>
              </w:tabs>
              <w:snapToGrid w:val="0"/>
              <w:spacing w:after="0"/>
              <w:ind w:left="1701" w:hanging="1701"/>
            </w:pPr>
            <w:r w:rsidRPr="0029659D">
              <w:t>Proposal 1:</w:t>
            </w:r>
            <w:r w:rsidRPr="0029659D">
              <w:tab/>
              <w:t>Common TA can be included in MIB, SIB or OSI. In the case of multi-beams per cell, common TAs for multi-beams can be included in the MIB, SIB, or OSI. In the case of providing a beam-specfic common TA in the multi-beams per cell, an association between the beam index and the common TA can be required. It may be assumed that the beam index and the SSB index are the same.</w:t>
            </w:r>
          </w:p>
          <w:p w14:paraId="44C39F12" w14:textId="77777777" w:rsidR="007152C7" w:rsidRPr="0029659D" w:rsidRDefault="007152C7" w:rsidP="00B94F95">
            <w:pPr>
              <w:keepNext/>
              <w:keepLines/>
              <w:widowControl w:val="0"/>
              <w:tabs>
                <w:tab w:val="left" w:pos="1701"/>
              </w:tabs>
              <w:snapToGrid w:val="0"/>
              <w:spacing w:after="0"/>
              <w:ind w:left="1701" w:hanging="1701"/>
            </w:pPr>
            <w:r w:rsidRPr="0029659D">
              <w:t>Proposal 2:</w:t>
            </w:r>
            <w:r w:rsidRPr="0029659D">
              <w:tab/>
              <w:t>The UE-specific TA in RAR is provided to the UE as a value excluding the common TA. The common TAs may consist of the representative value and the difference from the representative value according to an arbitrary condition. For example, in the case of multi-beams, a representative value for the common TAs can be set. And, the values for the remaining beams can be provided differential values from the representative value.</w:t>
            </w:r>
          </w:p>
          <w:p w14:paraId="69F215E3" w14:textId="498CAD86" w:rsidR="00DF3183" w:rsidRPr="0029659D" w:rsidRDefault="007152C7" w:rsidP="00B94F95">
            <w:pPr>
              <w:keepNext/>
              <w:keepLines/>
              <w:widowControl w:val="0"/>
              <w:tabs>
                <w:tab w:val="left" w:pos="1701"/>
              </w:tabs>
              <w:snapToGrid w:val="0"/>
              <w:spacing w:after="0"/>
              <w:ind w:left="1701" w:hanging="1701"/>
            </w:pPr>
            <w:r w:rsidRPr="0029659D">
              <w:t>Proposal 3:</w:t>
            </w:r>
            <w:r w:rsidRPr="0029659D">
              <w:tab/>
              <w:t>The common TA may be reflected in the PRACH preamble transmission time and the RAR monitoring window start time.</w:t>
            </w:r>
          </w:p>
        </w:tc>
      </w:tr>
      <w:tr w:rsidR="00DF3183" w:rsidRPr="0029659D" w14:paraId="7AF4D5B3" w14:textId="77777777" w:rsidTr="009F01EA">
        <w:trPr>
          <w:trHeight w:val="400"/>
          <w:jc w:val="center"/>
        </w:trPr>
        <w:tc>
          <w:tcPr>
            <w:tcW w:w="0" w:type="auto"/>
            <w:shd w:val="clear" w:color="auto" w:fill="auto"/>
            <w:vAlign w:val="center"/>
            <w:hideMark/>
          </w:tcPr>
          <w:p w14:paraId="07F3937B" w14:textId="77777777" w:rsidR="00DF3183" w:rsidRPr="0029659D" w:rsidRDefault="0055630A" w:rsidP="00B94F95">
            <w:pPr>
              <w:snapToGrid w:val="0"/>
              <w:spacing w:after="0"/>
              <w:jc w:val="center"/>
            </w:pPr>
            <w:hyperlink r:id="rId25" w:history="1">
              <w:r w:rsidR="00DF3183" w:rsidRPr="0029659D">
                <w:t>R1-1908818</w:t>
              </w:r>
            </w:hyperlink>
          </w:p>
          <w:p w14:paraId="266D833E" w14:textId="77777777" w:rsidR="00DF3183" w:rsidRPr="0029659D" w:rsidRDefault="00DF3183" w:rsidP="00B94F95">
            <w:pPr>
              <w:snapToGrid w:val="0"/>
              <w:spacing w:after="0"/>
              <w:jc w:val="center"/>
            </w:pPr>
            <w:r w:rsidRPr="0029659D">
              <w:t>Panasonic</w:t>
            </w:r>
          </w:p>
        </w:tc>
        <w:tc>
          <w:tcPr>
            <w:tcW w:w="0" w:type="auto"/>
            <w:vAlign w:val="center"/>
          </w:tcPr>
          <w:p w14:paraId="18202E37" w14:textId="77777777" w:rsidR="007152C7" w:rsidRPr="0029659D" w:rsidRDefault="007152C7" w:rsidP="00207430">
            <w:pPr>
              <w:pStyle w:val="ListParagraph"/>
              <w:numPr>
                <w:ilvl w:val="0"/>
                <w:numId w:val="29"/>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 xml:space="preserve">Timing Advance </w:t>
            </w:r>
          </w:p>
          <w:p w14:paraId="2599A450" w14:textId="77777777" w:rsidR="007152C7" w:rsidRPr="0029659D" w:rsidRDefault="007152C7" w:rsidP="00B94F95">
            <w:pPr>
              <w:snapToGrid w:val="0"/>
              <w:spacing w:after="0"/>
            </w:pPr>
            <w:r w:rsidRPr="0029659D">
              <w:t>Proposal 1: GNSS capable UE should calculate TA value for PRACH and PUSCH based on UE location and satellite ephemeris.</w:t>
            </w:r>
          </w:p>
          <w:p w14:paraId="12414A9C" w14:textId="77777777" w:rsidR="007152C7" w:rsidRPr="0029659D" w:rsidRDefault="007152C7" w:rsidP="00B94F95">
            <w:pPr>
              <w:snapToGrid w:val="0"/>
              <w:spacing w:after="0"/>
            </w:pPr>
            <w:r w:rsidRPr="0029659D">
              <w:t xml:space="preserve">Proposal 2: Common TA should be transmitted via SIB for non-GNSS UE. When supporting both GNSS capable UE (with UE based TA calculation) and GNSS non-capable UE (using common TA), common TA should not contain the delay caused by the feeder link and satellite processing to align the reception timing from both types of UE. </w:t>
            </w:r>
          </w:p>
          <w:p w14:paraId="6DD80954" w14:textId="77777777" w:rsidR="007152C7" w:rsidRPr="0029659D" w:rsidRDefault="007152C7" w:rsidP="00B94F95">
            <w:pPr>
              <w:snapToGrid w:val="0"/>
              <w:spacing w:after="0"/>
            </w:pPr>
            <w:r w:rsidRPr="0029659D">
              <w:t xml:space="preserve">Proposal 3: For transparent satellite, the delay caused by feeder link and satellite processing should be compensated by the network i.e. gNB/satellite.  </w:t>
            </w:r>
          </w:p>
          <w:p w14:paraId="13EAC05F" w14:textId="77777777" w:rsidR="007152C7" w:rsidRPr="0029659D" w:rsidRDefault="007152C7" w:rsidP="00207430">
            <w:pPr>
              <w:pStyle w:val="ListParagraph"/>
              <w:numPr>
                <w:ilvl w:val="0"/>
                <w:numId w:val="28"/>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PRACH aspect for high Doppler</w:t>
            </w:r>
          </w:p>
          <w:p w14:paraId="2FE2C2DF" w14:textId="77777777" w:rsidR="007152C7" w:rsidRPr="0029659D" w:rsidRDefault="007152C7" w:rsidP="00B94F95">
            <w:pPr>
              <w:snapToGrid w:val="0"/>
              <w:spacing w:after="0"/>
            </w:pPr>
            <w:r w:rsidRPr="0029659D">
              <w:t xml:space="preserve">Proposal 4: use existing PRACH format for S-band. </w:t>
            </w:r>
          </w:p>
          <w:p w14:paraId="295AADFE" w14:textId="77777777" w:rsidR="007152C7" w:rsidRPr="0029659D" w:rsidRDefault="007152C7" w:rsidP="00B94F95">
            <w:pPr>
              <w:snapToGrid w:val="0"/>
              <w:spacing w:after="0"/>
            </w:pPr>
            <w:r w:rsidRPr="0029659D">
              <w:t>Proposal 5: define PRACH format with SCS 240kHz to support large residual Doppler shift for LEO with Ka-band.</w:t>
            </w:r>
          </w:p>
          <w:p w14:paraId="16D1BFF8" w14:textId="77777777" w:rsidR="007152C7" w:rsidRPr="0029659D" w:rsidRDefault="007152C7" w:rsidP="00207430">
            <w:pPr>
              <w:pStyle w:val="ListParagraph"/>
              <w:numPr>
                <w:ilvl w:val="0"/>
                <w:numId w:val="27"/>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PUSCH aspect for high Doppler</w:t>
            </w:r>
          </w:p>
          <w:p w14:paraId="07BE46A4" w14:textId="77777777" w:rsidR="007152C7" w:rsidRPr="0029659D" w:rsidRDefault="007152C7" w:rsidP="00B94F95">
            <w:pPr>
              <w:snapToGrid w:val="0"/>
              <w:spacing w:after="0"/>
            </w:pPr>
            <w:r w:rsidRPr="0029659D">
              <w:t>Proposal 6: discuss how to improve PUSCH performance with large residual Doppler shift for LEO with Ka-band, e.g. introducing larger SCS for PUSCH, introducing a new mechanism of closed loop frequency compensation.</w:t>
            </w:r>
          </w:p>
          <w:p w14:paraId="29A8C83D" w14:textId="77777777" w:rsidR="007152C7" w:rsidRPr="0029659D" w:rsidRDefault="007152C7" w:rsidP="00B94F95">
            <w:pPr>
              <w:snapToGrid w:val="0"/>
              <w:spacing w:after="0"/>
            </w:pPr>
            <w:r w:rsidRPr="0029659D">
              <w:t xml:space="preserve">Proposal 7: For GNSS capable UE, frequency compensation based on UE location information and satellite ephemeris should be considered.  </w:t>
            </w:r>
          </w:p>
          <w:p w14:paraId="4B168AA6" w14:textId="77777777" w:rsidR="007152C7" w:rsidRPr="0029659D" w:rsidRDefault="007152C7" w:rsidP="00207430">
            <w:pPr>
              <w:pStyle w:val="ListParagraph"/>
              <w:numPr>
                <w:ilvl w:val="0"/>
                <w:numId w:val="26"/>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PRACH reception timing detection</w:t>
            </w:r>
          </w:p>
          <w:p w14:paraId="3AD1EEE0" w14:textId="77777777" w:rsidR="007152C7" w:rsidRPr="0029659D" w:rsidRDefault="007152C7" w:rsidP="00B94F95">
            <w:pPr>
              <w:snapToGrid w:val="0"/>
              <w:spacing w:after="0"/>
            </w:pPr>
            <w:r w:rsidRPr="0029659D">
              <w:t xml:space="preserve">Proposal 8: Discuss solution for PRACH reception timing ambiguity for GNSS non-capable UE. If significant impact on the specification is needed to support GNSS-non-capable UE, phased approach, i.e. only GNSS capable UE in Rel.17 and GNSS capable UE support in later release, should be considered.   </w:t>
            </w:r>
          </w:p>
          <w:p w14:paraId="22C5E8C9" w14:textId="77777777" w:rsidR="007152C7" w:rsidRPr="0029659D" w:rsidRDefault="007152C7" w:rsidP="00207430">
            <w:pPr>
              <w:pStyle w:val="ListParagraph"/>
              <w:numPr>
                <w:ilvl w:val="0"/>
                <w:numId w:val="25"/>
              </w:numPr>
              <w:adjustRightInd w:val="0"/>
              <w:snapToGrid w:val="0"/>
              <w:rPr>
                <w:rFonts w:ascii="Times New Roman" w:eastAsia="宋体" w:hAnsi="Times New Roman"/>
                <w:sz w:val="20"/>
                <w:szCs w:val="20"/>
                <w:lang w:val="en-GB"/>
              </w:rPr>
            </w:pPr>
            <w:r w:rsidRPr="0029659D">
              <w:rPr>
                <w:rFonts w:ascii="Times New Roman" w:eastAsia="宋体" w:hAnsi="Times New Roman"/>
                <w:sz w:val="20"/>
                <w:szCs w:val="20"/>
                <w:lang w:val="en-GB"/>
              </w:rPr>
              <w:t xml:space="preserve">Issues related to RACH response </w:t>
            </w:r>
          </w:p>
          <w:p w14:paraId="1D801F98" w14:textId="77777777" w:rsidR="007152C7" w:rsidRPr="0029659D" w:rsidRDefault="007152C7" w:rsidP="00B94F95">
            <w:pPr>
              <w:snapToGrid w:val="0"/>
              <w:spacing w:after="0"/>
            </w:pPr>
            <w:r w:rsidRPr="0029659D">
              <w:t>Proposal 9: ambiguity on preamble transmitted slot for RA-RNTI calculation can be solved by gNB implementation.</w:t>
            </w:r>
          </w:p>
          <w:p w14:paraId="5250A5C8" w14:textId="1D6E3E28" w:rsidR="00DF3183" w:rsidRPr="0029659D" w:rsidRDefault="007152C7" w:rsidP="00B94F95">
            <w:pPr>
              <w:snapToGrid w:val="0"/>
              <w:spacing w:after="0"/>
            </w:pPr>
            <w:r w:rsidRPr="0029659D">
              <w:t xml:space="preserve">Proposal 10: it is not necessary to extend the range of ra-ResponseWindow regardless of the maximum differential delay between UEs. </w:t>
            </w:r>
          </w:p>
        </w:tc>
      </w:tr>
      <w:tr w:rsidR="00DF3183" w:rsidRPr="0029659D" w14:paraId="4D22DAF0" w14:textId="77777777" w:rsidTr="009F01EA">
        <w:trPr>
          <w:trHeight w:val="400"/>
          <w:jc w:val="center"/>
        </w:trPr>
        <w:tc>
          <w:tcPr>
            <w:tcW w:w="0" w:type="auto"/>
            <w:shd w:val="clear" w:color="auto" w:fill="auto"/>
            <w:vAlign w:val="center"/>
            <w:hideMark/>
          </w:tcPr>
          <w:p w14:paraId="1DB73163" w14:textId="77777777" w:rsidR="00DF3183" w:rsidRPr="0029659D" w:rsidRDefault="0055630A" w:rsidP="00B94F95">
            <w:pPr>
              <w:snapToGrid w:val="0"/>
              <w:spacing w:after="0"/>
              <w:jc w:val="center"/>
            </w:pPr>
            <w:hyperlink r:id="rId26" w:history="1">
              <w:r w:rsidR="00DF3183" w:rsidRPr="0029659D">
                <w:t>R1-1908865</w:t>
              </w:r>
            </w:hyperlink>
          </w:p>
          <w:p w14:paraId="17EE5219" w14:textId="77777777" w:rsidR="00DF3183" w:rsidRPr="0029659D" w:rsidRDefault="00DF3183" w:rsidP="00B94F95">
            <w:pPr>
              <w:snapToGrid w:val="0"/>
              <w:spacing w:after="0"/>
              <w:jc w:val="center"/>
            </w:pPr>
            <w:r w:rsidRPr="0029659D">
              <w:t>CMCC</w:t>
            </w:r>
          </w:p>
        </w:tc>
        <w:tc>
          <w:tcPr>
            <w:tcW w:w="0" w:type="auto"/>
            <w:vAlign w:val="center"/>
          </w:tcPr>
          <w:p w14:paraId="1E18C270"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1: The extension of existing TA value range indicated in RAR should be considered in NTN.</w:t>
            </w:r>
          </w:p>
          <w:p w14:paraId="36E80680"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2: The reference location for common TA calculation can be the distance between satellite and cell center (beam spot center).</w:t>
            </w:r>
          </w:p>
          <w:p w14:paraId="7E4E1EBC"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lastRenderedPageBreak/>
              <w:t>Proposal 3: The common TA can be periodically broadcast to UEs via SIB.</w:t>
            </w:r>
          </w:p>
          <w:p w14:paraId="2CD0463A" w14:textId="4CA026B3" w:rsidR="00DF3183"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4: Both closed-loop and open-loop TA adjustment mechanisms are considered for NTN.</w:t>
            </w:r>
          </w:p>
        </w:tc>
      </w:tr>
      <w:tr w:rsidR="00DF3183" w:rsidRPr="0029659D" w14:paraId="3A56C053" w14:textId="77777777" w:rsidTr="009F01EA">
        <w:trPr>
          <w:trHeight w:val="400"/>
          <w:jc w:val="center"/>
        </w:trPr>
        <w:tc>
          <w:tcPr>
            <w:tcW w:w="0" w:type="auto"/>
            <w:shd w:val="clear" w:color="auto" w:fill="auto"/>
            <w:vAlign w:val="center"/>
            <w:hideMark/>
          </w:tcPr>
          <w:p w14:paraId="4D36080C" w14:textId="77777777" w:rsidR="00DF3183" w:rsidRPr="0029659D" w:rsidRDefault="0055630A" w:rsidP="00B94F95">
            <w:pPr>
              <w:snapToGrid w:val="0"/>
              <w:spacing w:after="0"/>
              <w:jc w:val="center"/>
            </w:pPr>
            <w:hyperlink r:id="rId27" w:history="1">
              <w:r w:rsidR="00DF3183" w:rsidRPr="0029659D">
                <w:t>R1-1908984</w:t>
              </w:r>
            </w:hyperlink>
          </w:p>
          <w:p w14:paraId="2CDF8C8D" w14:textId="77777777" w:rsidR="00DF3183" w:rsidRPr="0029659D" w:rsidRDefault="00DF3183" w:rsidP="00B94F95">
            <w:pPr>
              <w:snapToGrid w:val="0"/>
              <w:spacing w:after="0"/>
              <w:jc w:val="center"/>
            </w:pPr>
            <w:r w:rsidRPr="0029659D">
              <w:t>OPPO</w:t>
            </w:r>
          </w:p>
        </w:tc>
        <w:tc>
          <w:tcPr>
            <w:tcW w:w="0" w:type="auto"/>
            <w:vAlign w:val="center"/>
          </w:tcPr>
          <w:p w14:paraId="6C2A9853" w14:textId="77777777" w:rsidR="007152C7" w:rsidRPr="0029659D" w:rsidRDefault="007152C7" w:rsidP="00B94F95">
            <w:pPr>
              <w:snapToGrid w:val="0"/>
              <w:spacing w:after="0"/>
            </w:pPr>
            <w:r w:rsidRPr="0029659D">
              <w:t>Proposal 1: Introducing autonomous frequency adjustment to quickly adapt the residual Doppler shift in DL receiving, in case DL is with pre-compensation.</w:t>
            </w:r>
          </w:p>
          <w:p w14:paraId="39228A62" w14:textId="77777777" w:rsidR="007152C7" w:rsidRPr="0029659D" w:rsidRDefault="007152C7" w:rsidP="00B94F95">
            <w:pPr>
              <w:snapToGrid w:val="0"/>
              <w:spacing w:after="0"/>
            </w:pPr>
            <w:r w:rsidRPr="0029659D">
              <w:t>Proposal 2: Evaluating the gNB assistant UL pre-compensation mechanism for UE transmission in UL.</w:t>
            </w:r>
          </w:p>
          <w:p w14:paraId="7D23B088" w14:textId="77777777" w:rsidR="007152C7" w:rsidRPr="0029659D" w:rsidRDefault="007152C7" w:rsidP="00B94F95">
            <w:pPr>
              <w:pStyle w:val="BodyText"/>
              <w:snapToGrid w:val="0"/>
              <w:spacing w:after="0"/>
              <w:rPr>
                <w:rFonts w:ascii="Times New Roman" w:hAnsi="Times New Roman"/>
                <w:szCs w:val="20"/>
                <w:lang w:val="en-GB"/>
              </w:rPr>
            </w:pPr>
            <w:r w:rsidRPr="0029659D">
              <w:rPr>
                <w:rFonts w:ascii="Times New Roman" w:hAnsi="Times New Roman"/>
                <w:szCs w:val="20"/>
                <w:lang w:val="en-GB"/>
              </w:rPr>
              <w:t>Proposal 3: UE can be indicated with an instant Doppler shift. The indication can be applied to TA change.</w:t>
            </w:r>
          </w:p>
          <w:p w14:paraId="171FCF0C" w14:textId="77777777" w:rsidR="00DF3183" w:rsidRPr="0029659D" w:rsidRDefault="00DF3183" w:rsidP="00B94F95">
            <w:pPr>
              <w:snapToGrid w:val="0"/>
              <w:spacing w:after="0"/>
            </w:pPr>
          </w:p>
        </w:tc>
      </w:tr>
      <w:tr w:rsidR="00DF3183" w:rsidRPr="0029659D" w14:paraId="21E7D7D5" w14:textId="77777777" w:rsidTr="009F01EA">
        <w:trPr>
          <w:trHeight w:val="400"/>
          <w:jc w:val="center"/>
        </w:trPr>
        <w:tc>
          <w:tcPr>
            <w:tcW w:w="0" w:type="auto"/>
            <w:shd w:val="clear" w:color="auto" w:fill="auto"/>
            <w:vAlign w:val="center"/>
            <w:hideMark/>
          </w:tcPr>
          <w:p w14:paraId="2D1CF623" w14:textId="77777777" w:rsidR="00DF3183" w:rsidRPr="0029659D" w:rsidRDefault="0055630A" w:rsidP="00B94F95">
            <w:pPr>
              <w:snapToGrid w:val="0"/>
              <w:spacing w:after="0"/>
              <w:jc w:val="center"/>
            </w:pPr>
            <w:hyperlink r:id="rId28" w:history="1">
              <w:r w:rsidR="00DF3183" w:rsidRPr="0029659D">
                <w:t>R1-1909107</w:t>
              </w:r>
            </w:hyperlink>
          </w:p>
          <w:p w14:paraId="4B1B6937" w14:textId="77777777" w:rsidR="00DF3183" w:rsidRPr="0029659D" w:rsidRDefault="00DF3183" w:rsidP="00B94F95">
            <w:pPr>
              <w:snapToGrid w:val="0"/>
              <w:spacing w:after="0"/>
              <w:jc w:val="center"/>
            </w:pPr>
            <w:r w:rsidRPr="0029659D">
              <w:t>Ericsson</w:t>
            </w:r>
          </w:p>
        </w:tc>
        <w:tc>
          <w:tcPr>
            <w:tcW w:w="0" w:type="auto"/>
            <w:vAlign w:val="center"/>
          </w:tcPr>
          <w:p w14:paraId="498D1D75" w14:textId="77777777" w:rsidR="00424510" w:rsidRPr="0029659D" w:rsidRDefault="00424510"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r w:rsidRPr="0029659D">
              <w:rPr>
                <w:rFonts w:ascii="Times New Roman" w:eastAsia="宋体" w:hAnsi="Times New Roman" w:cs="Times New Roman"/>
                <w:b w:val="0"/>
                <w:kern w:val="0"/>
                <w:sz w:val="20"/>
                <w:szCs w:val="20"/>
                <w:lang w:val="en-GB" w:eastAsia="en-US"/>
              </w:rPr>
              <w:fldChar w:fldCharType="begin"/>
            </w:r>
            <w:r w:rsidRPr="0029659D">
              <w:rPr>
                <w:rFonts w:ascii="Times New Roman" w:eastAsia="宋体" w:hAnsi="Times New Roman" w:cs="Times New Roman"/>
                <w:b w:val="0"/>
                <w:kern w:val="0"/>
                <w:sz w:val="20"/>
                <w:szCs w:val="20"/>
                <w:lang w:val="en-GB" w:eastAsia="en-US"/>
              </w:rPr>
              <w:instrText xml:space="preserve"> TOC \f O \n \h \z \t "Observation" \c </w:instrText>
            </w:r>
            <w:r w:rsidRPr="0029659D">
              <w:rPr>
                <w:rFonts w:ascii="Times New Roman" w:eastAsia="宋体" w:hAnsi="Times New Roman" w:cs="Times New Roman"/>
                <w:b w:val="0"/>
                <w:kern w:val="0"/>
                <w:sz w:val="20"/>
                <w:szCs w:val="20"/>
                <w:lang w:val="en-GB" w:eastAsia="en-US"/>
              </w:rPr>
              <w:fldChar w:fldCharType="separate"/>
            </w:r>
            <w:hyperlink w:anchor="_Toc16849413" w:history="1">
              <w:r w:rsidRPr="0029659D">
                <w:rPr>
                  <w:rFonts w:ascii="Times New Roman" w:eastAsia="宋体" w:hAnsi="Times New Roman" w:cs="Times New Roman"/>
                  <w:b w:val="0"/>
                  <w:kern w:val="0"/>
                  <w:sz w:val="20"/>
                  <w:szCs w:val="20"/>
                  <w:lang w:val="en-GB" w:eastAsia="en-US"/>
                </w:rPr>
                <w:t>Observation 1</w:t>
              </w:r>
              <w:r w:rsidRPr="0029659D">
                <w:rPr>
                  <w:rFonts w:ascii="Times New Roman" w:eastAsia="宋体" w:hAnsi="Times New Roman" w:cs="Times New Roman"/>
                  <w:b w:val="0"/>
                  <w:kern w:val="0"/>
                  <w:sz w:val="20"/>
                  <w:szCs w:val="20"/>
                  <w:lang w:val="en-GB" w:eastAsia="en-US"/>
                </w:rPr>
                <w:tab/>
                <w:t>Open-loop method refers to the case where the UE uses cell information as well as other source(s) to adjust timing and frequency before MSG1 transmission.</w:t>
              </w:r>
            </w:hyperlink>
          </w:p>
          <w:p w14:paraId="45B00006"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4" w:history="1">
              <w:r w:rsidR="00424510" w:rsidRPr="0029659D">
                <w:rPr>
                  <w:rFonts w:ascii="Times New Roman" w:eastAsia="宋体" w:hAnsi="Times New Roman" w:cs="Times New Roman"/>
                  <w:b w:val="0"/>
                  <w:kern w:val="0"/>
                  <w:sz w:val="20"/>
                  <w:szCs w:val="20"/>
                  <w:lang w:val="en-GB" w:eastAsia="en-US"/>
                </w:rPr>
                <w:t>Observation 2</w:t>
              </w:r>
              <w:r w:rsidR="00424510" w:rsidRPr="0029659D">
                <w:rPr>
                  <w:rFonts w:ascii="Times New Roman" w:eastAsia="宋体" w:hAnsi="Times New Roman" w:cs="Times New Roman"/>
                  <w:b w:val="0"/>
                  <w:kern w:val="0"/>
                  <w:sz w:val="20"/>
                  <w:szCs w:val="20"/>
                  <w:lang w:val="en-GB" w:eastAsia="en-US"/>
                </w:rPr>
                <w:tab/>
                <w:t>Closed-loop method refers to the case where a UE only relies on the cell information before MSG1 transmission. The term “closed-loop” comes from the assumption that after MSG1 the network can feedback information such as timing advance and frequency adjustment commands to “close the loop”.</w:t>
              </w:r>
            </w:hyperlink>
          </w:p>
          <w:p w14:paraId="0BFDBCF3"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5" w:history="1">
              <w:r w:rsidR="00424510" w:rsidRPr="0029659D">
                <w:rPr>
                  <w:rFonts w:ascii="Times New Roman" w:eastAsia="宋体" w:hAnsi="Times New Roman" w:cs="Times New Roman"/>
                  <w:b w:val="0"/>
                  <w:kern w:val="0"/>
                  <w:sz w:val="20"/>
                  <w:szCs w:val="20"/>
                  <w:lang w:val="en-GB" w:eastAsia="en-US"/>
                </w:rPr>
                <w:t>Observation 3</w:t>
              </w:r>
              <w:r w:rsidR="00424510" w:rsidRPr="0029659D">
                <w:rPr>
                  <w:rFonts w:ascii="Times New Roman" w:eastAsia="宋体" w:hAnsi="Times New Roman" w:cs="Times New Roman"/>
                  <w:b w:val="0"/>
                  <w:kern w:val="0"/>
                  <w:sz w:val="20"/>
                  <w:szCs w:val="20"/>
                  <w:lang w:val="en-GB" w:eastAsia="en-US"/>
                </w:rPr>
                <w:tab/>
                <w:t>When gNB performs beam-specific post-compensation of common frequency offset, it is not clear why further indication of common frequency offset is needed.</w:t>
              </w:r>
            </w:hyperlink>
          </w:p>
          <w:p w14:paraId="204676CB"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6" w:history="1">
              <w:r w:rsidR="00424510" w:rsidRPr="0029659D">
                <w:rPr>
                  <w:rFonts w:ascii="Times New Roman" w:eastAsia="宋体" w:hAnsi="Times New Roman" w:cs="Times New Roman"/>
                  <w:b w:val="0"/>
                  <w:kern w:val="0"/>
                  <w:sz w:val="20"/>
                  <w:szCs w:val="20"/>
                  <w:lang w:val="en-GB" w:eastAsia="en-US"/>
                </w:rPr>
                <w:t>Observation 4</w:t>
              </w:r>
              <w:r w:rsidR="00424510" w:rsidRPr="0029659D">
                <w:rPr>
                  <w:rFonts w:ascii="Times New Roman" w:eastAsia="宋体" w:hAnsi="Times New Roman" w:cs="Times New Roman"/>
                  <w:b w:val="0"/>
                  <w:kern w:val="0"/>
                  <w:sz w:val="20"/>
                  <w:szCs w:val="20"/>
                  <w:lang w:val="en-GB" w:eastAsia="en-US"/>
                </w:rPr>
                <w:tab/>
                <w:t>When gNB performs beam-specific post-compensation of common frequency offset, the need of further common frequency offset compensation at the UE side should be clarified.</w:t>
              </w:r>
            </w:hyperlink>
          </w:p>
          <w:p w14:paraId="4A480C48"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7" w:history="1">
              <w:r w:rsidR="00424510" w:rsidRPr="0029659D">
                <w:rPr>
                  <w:rFonts w:ascii="Times New Roman" w:eastAsia="宋体" w:hAnsi="Times New Roman" w:cs="Times New Roman"/>
                  <w:b w:val="0"/>
                  <w:kern w:val="0"/>
                  <w:sz w:val="20"/>
                  <w:szCs w:val="20"/>
                  <w:lang w:val="en-GB" w:eastAsia="en-US"/>
                </w:rPr>
                <w:t>Observation 5</w:t>
              </w:r>
              <w:r w:rsidR="00424510" w:rsidRPr="0029659D">
                <w:rPr>
                  <w:rFonts w:ascii="Times New Roman" w:eastAsia="宋体" w:hAnsi="Times New Roman" w:cs="Times New Roman"/>
                  <w:b w:val="0"/>
                  <w:kern w:val="0"/>
                  <w:sz w:val="20"/>
                  <w:szCs w:val="20"/>
                  <w:lang w:val="en-GB" w:eastAsia="en-US"/>
                </w:rPr>
                <w:tab/>
                <w:t>For open-loop method, a GNSS-equipped UE can determine its location and share it with the gNB. It is unclear why further study on determination of UE location is needed.</w:t>
              </w:r>
            </w:hyperlink>
          </w:p>
          <w:p w14:paraId="490C0B62"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8" w:history="1">
              <w:r w:rsidR="00424510" w:rsidRPr="0029659D">
                <w:rPr>
                  <w:rFonts w:ascii="Times New Roman" w:eastAsia="宋体" w:hAnsi="Times New Roman" w:cs="Times New Roman"/>
                  <w:b w:val="0"/>
                  <w:kern w:val="0"/>
                  <w:sz w:val="20"/>
                  <w:szCs w:val="20"/>
                  <w:lang w:val="en-GB" w:eastAsia="en-US"/>
                </w:rPr>
                <w:t>Observation 6</w:t>
              </w:r>
              <w:r w:rsidR="00424510" w:rsidRPr="0029659D">
                <w:rPr>
                  <w:rFonts w:ascii="Times New Roman" w:eastAsia="宋体" w:hAnsi="Times New Roman" w:cs="Times New Roman"/>
                  <w:b w:val="0"/>
                  <w:kern w:val="0"/>
                  <w:sz w:val="20"/>
                  <w:szCs w:val="20"/>
                  <w:lang w:val="en-GB" w:eastAsia="en-US"/>
                </w:rPr>
                <w:tab/>
                <w:t>Continuous frequency tracking will be necessary to mitigate the Doppler shift variation in LEO NTN.</w:t>
              </w:r>
            </w:hyperlink>
          </w:p>
          <w:p w14:paraId="6E1D97A6"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19" w:history="1">
              <w:r w:rsidR="00424510" w:rsidRPr="0029659D">
                <w:rPr>
                  <w:rFonts w:ascii="Times New Roman" w:eastAsia="宋体" w:hAnsi="Times New Roman" w:cs="Times New Roman"/>
                  <w:b w:val="0"/>
                  <w:kern w:val="0"/>
                  <w:sz w:val="20"/>
                  <w:szCs w:val="20"/>
                  <w:lang w:val="en-GB" w:eastAsia="en-US"/>
                </w:rPr>
                <w:t>Observation 7</w:t>
              </w:r>
              <w:r w:rsidR="00424510" w:rsidRPr="0029659D">
                <w:rPr>
                  <w:rFonts w:ascii="Times New Roman" w:eastAsia="宋体" w:hAnsi="Times New Roman" w:cs="Times New Roman"/>
                  <w:b w:val="0"/>
                  <w:kern w:val="0"/>
                  <w:sz w:val="20"/>
                  <w:szCs w:val="20"/>
                  <w:lang w:val="en-GB" w:eastAsia="en-US"/>
                </w:rPr>
                <w:tab/>
                <w:t>Doppler shift appears to vary approximately linearly with time in each cell.</w:t>
              </w:r>
            </w:hyperlink>
          </w:p>
          <w:p w14:paraId="004FAE79"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0" w:history="1">
              <w:r w:rsidR="00424510" w:rsidRPr="0029659D">
                <w:rPr>
                  <w:rFonts w:ascii="Times New Roman" w:eastAsia="宋体" w:hAnsi="Times New Roman" w:cs="Times New Roman"/>
                  <w:b w:val="0"/>
                  <w:kern w:val="0"/>
                  <w:sz w:val="20"/>
                  <w:szCs w:val="20"/>
                  <w:lang w:val="en-GB" w:eastAsia="en-US"/>
                </w:rPr>
                <w:t>Observation 8</w:t>
              </w:r>
              <w:r w:rsidR="00424510" w:rsidRPr="0029659D">
                <w:rPr>
                  <w:rFonts w:ascii="Times New Roman" w:eastAsia="宋体" w:hAnsi="Times New Roman" w:cs="Times New Roman"/>
                  <w:b w:val="0"/>
                  <w:kern w:val="0"/>
                  <w:sz w:val="20"/>
                  <w:szCs w:val="20"/>
                  <w:lang w:val="en-GB" w:eastAsia="en-US"/>
                </w:rPr>
                <w:tab/>
                <w:t>The trends observed for S-band carry over to Ka-band.</w:t>
              </w:r>
            </w:hyperlink>
          </w:p>
          <w:p w14:paraId="0BE5127B"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1" w:history="1">
              <w:r w:rsidR="00424510" w:rsidRPr="0029659D">
                <w:rPr>
                  <w:rFonts w:ascii="Times New Roman" w:eastAsia="宋体" w:hAnsi="Times New Roman" w:cs="Times New Roman"/>
                  <w:b w:val="0"/>
                  <w:kern w:val="0"/>
                  <w:sz w:val="20"/>
                  <w:szCs w:val="20"/>
                  <w:lang w:val="en-GB" w:eastAsia="en-US"/>
                </w:rPr>
                <w:t>Observation 9</w:t>
              </w:r>
              <w:r w:rsidR="00424510" w:rsidRPr="0029659D">
                <w:rPr>
                  <w:rFonts w:ascii="Times New Roman" w:eastAsia="宋体" w:hAnsi="Times New Roman" w:cs="Times New Roman"/>
                  <w:b w:val="0"/>
                  <w:kern w:val="0"/>
                  <w:sz w:val="20"/>
                  <w:szCs w:val="20"/>
                  <w:lang w:val="en-GB" w:eastAsia="en-US"/>
                </w:rPr>
                <w:tab/>
                <w:t>The linear approximation of Doppler shift (as a function of time) becomes more accurate as cell size and/or constellation size is reduced.</w:t>
              </w:r>
            </w:hyperlink>
          </w:p>
          <w:p w14:paraId="6E02A6D7"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2" w:history="1">
              <w:r w:rsidR="00424510" w:rsidRPr="0029659D">
                <w:rPr>
                  <w:rFonts w:ascii="Times New Roman" w:eastAsia="宋体" w:hAnsi="Times New Roman" w:cs="Times New Roman"/>
                  <w:b w:val="0"/>
                  <w:kern w:val="0"/>
                  <w:sz w:val="20"/>
                  <w:szCs w:val="20"/>
                  <w:lang w:val="en-GB" w:eastAsia="en-US"/>
                </w:rPr>
                <w:t>Observation 10</w:t>
              </w:r>
              <w:r w:rsidR="00424510" w:rsidRPr="0029659D">
                <w:rPr>
                  <w:rFonts w:ascii="Times New Roman" w:eastAsia="宋体" w:hAnsi="Times New Roman" w:cs="Times New Roman"/>
                  <w:b w:val="0"/>
                  <w:kern w:val="0"/>
                  <w:sz w:val="20"/>
                  <w:szCs w:val="20"/>
                  <w:lang w:val="en-GB" w:eastAsia="en-US"/>
                </w:rPr>
                <w:tab/>
                <w:t>If a Doppler rate is signaled to the UE according to Proposal 4, it can be used by the UE also for linear Doppler frequency pre-compensation of the UL signal.</w:t>
              </w:r>
            </w:hyperlink>
          </w:p>
          <w:p w14:paraId="76C76A1F"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3" w:history="1">
              <w:r w:rsidR="00424510" w:rsidRPr="0029659D">
                <w:rPr>
                  <w:rFonts w:ascii="Times New Roman" w:eastAsia="宋体" w:hAnsi="Times New Roman" w:cs="Times New Roman"/>
                  <w:b w:val="0"/>
                  <w:kern w:val="0"/>
                  <w:sz w:val="20"/>
                  <w:szCs w:val="20"/>
                  <w:lang w:val="en-GB" w:eastAsia="en-US"/>
                </w:rPr>
                <w:t>Observation 11</w:t>
              </w:r>
              <w:r w:rsidR="00424510" w:rsidRPr="0029659D">
                <w:rPr>
                  <w:rFonts w:ascii="Times New Roman" w:eastAsia="宋体" w:hAnsi="Times New Roman" w:cs="Times New Roman"/>
                  <w:b w:val="0"/>
                  <w:kern w:val="0"/>
                  <w:sz w:val="20"/>
                  <w:szCs w:val="20"/>
                  <w:lang w:val="en-GB" w:eastAsia="en-US"/>
                </w:rPr>
                <w:tab/>
                <w:t>With a legacy PRACH detector not particularly optimized for handling large frequency shift, the existing PRACH formats can cope with residual frequency errors up to half the subcarrier spacing.</w:t>
              </w:r>
            </w:hyperlink>
          </w:p>
          <w:p w14:paraId="5B3F2B0F"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4" w:history="1">
              <w:r w:rsidR="00424510" w:rsidRPr="0029659D">
                <w:rPr>
                  <w:rFonts w:ascii="Times New Roman" w:eastAsia="宋体" w:hAnsi="Times New Roman" w:cs="Times New Roman"/>
                  <w:b w:val="0"/>
                  <w:kern w:val="0"/>
                  <w:sz w:val="20"/>
                  <w:szCs w:val="20"/>
                  <w:lang w:val="en-GB" w:eastAsia="en-US"/>
                </w:rPr>
                <w:t>Observation 12</w:t>
              </w:r>
              <w:r w:rsidR="00424510" w:rsidRPr="0029659D">
                <w:rPr>
                  <w:rFonts w:ascii="Times New Roman" w:eastAsia="宋体" w:hAnsi="Times New Roman" w:cs="Times New Roman"/>
                  <w:b w:val="0"/>
                  <w:kern w:val="0"/>
                  <w:sz w:val="20"/>
                  <w:szCs w:val="20"/>
                  <w:lang w:val="en-GB" w:eastAsia="en-US"/>
                </w:rPr>
                <w:tab/>
                <w:t>The TA field size in a RAR is not sufficient for all scenarios as illustrated in Table 4.</w:t>
              </w:r>
            </w:hyperlink>
          </w:p>
          <w:p w14:paraId="2163CBC6"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5" w:history="1">
              <w:r w:rsidR="00424510" w:rsidRPr="0029659D">
                <w:rPr>
                  <w:rFonts w:ascii="Times New Roman" w:eastAsia="宋体" w:hAnsi="Times New Roman" w:cs="Times New Roman"/>
                  <w:b w:val="0"/>
                  <w:kern w:val="0"/>
                  <w:sz w:val="20"/>
                  <w:szCs w:val="20"/>
                  <w:lang w:val="en-GB" w:eastAsia="en-US"/>
                </w:rPr>
                <w:t>Observation 13</w:t>
              </w:r>
              <w:r w:rsidR="00424510" w:rsidRPr="0029659D">
                <w:rPr>
                  <w:rFonts w:ascii="Times New Roman" w:eastAsia="宋体" w:hAnsi="Times New Roman" w:cs="Times New Roman"/>
                  <w:b w:val="0"/>
                  <w:kern w:val="0"/>
                  <w:sz w:val="20"/>
                  <w:szCs w:val="20"/>
                  <w:lang w:val="en-GB" w:eastAsia="en-US"/>
                </w:rPr>
                <w:tab/>
                <w:t>Relying solely on TA update commands to deal with timing drift will lead to excessive signaling overhead.</w:t>
              </w:r>
            </w:hyperlink>
          </w:p>
          <w:p w14:paraId="1B9919C4" w14:textId="13760141" w:rsidR="00424510" w:rsidRPr="0029659D" w:rsidRDefault="00424510" w:rsidP="00EA69C7">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r w:rsidRPr="0029659D">
              <w:rPr>
                <w:rFonts w:ascii="Times New Roman" w:hAnsi="Times New Roman" w:cs="Times New Roman"/>
                <w:b w:val="0"/>
                <w:sz w:val="20"/>
                <w:szCs w:val="20"/>
                <w:lang w:val="en-GB"/>
              </w:rPr>
              <w:fldChar w:fldCharType="end"/>
            </w:r>
            <w:r w:rsidRPr="0029659D">
              <w:rPr>
                <w:rFonts w:ascii="Times New Roman" w:eastAsia="宋体" w:hAnsi="Times New Roman" w:cs="Times New Roman"/>
                <w:b w:val="0"/>
                <w:kern w:val="0"/>
                <w:sz w:val="20"/>
                <w:szCs w:val="20"/>
                <w:lang w:val="en-GB" w:eastAsia="en-US"/>
              </w:rPr>
              <w:fldChar w:fldCharType="begin"/>
            </w:r>
            <w:r w:rsidRPr="0029659D">
              <w:rPr>
                <w:rFonts w:ascii="Times New Roman" w:eastAsia="宋体" w:hAnsi="Times New Roman" w:cs="Times New Roman"/>
                <w:b w:val="0"/>
                <w:kern w:val="0"/>
                <w:sz w:val="20"/>
                <w:szCs w:val="20"/>
                <w:lang w:val="en-GB" w:eastAsia="en-US"/>
              </w:rPr>
              <w:instrText xml:space="preserve"> TOC \n \h \z \t "Proposal" \c </w:instrText>
            </w:r>
            <w:r w:rsidRPr="0029659D">
              <w:rPr>
                <w:rFonts w:ascii="Times New Roman" w:eastAsia="宋体" w:hAnsi="Times New Roman" w:cs="Times New Roman"/>
                <w:b w:val="0"/>
                <w:kern w:val="0"/>
                <w:sz w:val="20"/>
                <w:szCs w:val="20"/>
                <w:lang w:val="en-GB" w:eastAsia="en-US"/>
              </w:rPr>
              <w:fldChar w:fldCharType="separate"/>
            </w:r>
            <w:hyperlink w:anchor="_Toc16849426" w:history="1">
              <w:r w:rsidRPr="0029659D">
                <w:rPr>
                  <w:rFonts w:ascii="Times New Roman" w:eastAsia="宋体" w:hAnsi="Times New Roman" w:cs="Times New Roman"/>
                  <w:b w:val="0"/>
                  <w:kern w:val="0"/>
                  <w:sz w:val="20"/>
                  <w:szCs w:val="20"/>
                  <w:lang w:val="en-GB" w:eastAsia="en-US"/>
                </w:rPr>
                <w:t>Proposal 1</w:t>
              </w:r>
              <w:r w:rsidRPr="0029659D">
                <w:rPr>
                  <w:rFonts w:ascii="Times New Roman" w:eastAsia="宋体" w:hAnsi="Times New Roman" w:cs="Times New Roman"/>
                  <w:b w:val="0"/>
                  <w:kern w:val="0"/>
                  <w:sz w:val="20"/>
                  <w:szCs w:val="20"/>
                  <w:lang w:val="en-GB" w:eastAsia="en-US"/>
                </w:rPr>
                <w:tab/>
                <w:t>RAN1 to clarify the meanings of open-loop and closed-loop methods in the context of NTN.</w:t>
              </w:r>
            </w:hyperlink>
          </w:p>
          <w:p w14:paraId="5B7E450D"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7" w:history="1">
              <w:r w:rsidR="00424510" w:rsidRPr="0029659D">
                <w:rPr>
                  <w:rFonts w:ascii="Times New Roman" w:eastAsia="宋体" w:hAnsi="Times New Roman" w:cs="Times New Roman"/>
                  <w:b w:val="0"/>
                  <w:kern w:val="0"/>
                  <w:sz w:val="20"/>
                  <w:szCs w:val="20"/>
                  <w:lang w:val="en-GB" w:eastAsia="en-US"/>
                </w:rPr>
                <w:t>Proposal 2</w:t>
              </w:r>
              <w:r w:rsidR="00424510" w:rsidRPr="0029659D">
                <w:rPr>
                  <w:rFonts w:ascii="Times New Roman" w:eastAsia="宋体" w:hAnsi="Times New Roman" w:cs="Times New Roman"/>
                  <w:b w:val="0"/>
                  <w:kern w:val="0"/>
                  <w:sz w:val="20"/>
                  <w:szCs w:val="20"/>
                  <w:lang w:val="en-GB" w:eastAsia="en-US"/>
                </w:rPr>
                <w:tab/>
                <w:t>NTN should support network to signal a frequency adjustment command for UE uplink frequency to preserve uplink multiple access orthogonality.</w:t>
              </w:r>
            </w:hyperlink>
          </w:p>
          <w:p w14:paraId="162BDD31"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8" w:history="1">
              <w:r w:rsidR="00424510" w:rsidRPr="0029659D">
                <w:rPr>
                  <w:rFonts w:ascii="Times New Roman" w:eastAsia="宋体" w:hAnsi="Times New Roman" w:cs="Times New Roman"/>
                  <w:b w:val="0"/>
                  <w:kern w:val="0"/>
                  <w:sz w:val="20"/>
                  <w:szCs w:val="20"/>
                  <w:lang w:val="en-GB" w:eastAsia="en-US"/>
                </w:rPr>
                <w:t>Proposal 3</w:t>
              </w:r>
              <w:r w:rsidR="00424510" w:rsidRPr="0029659D">
                <w:rPr>
                  <w:rFonts w:ascii="Times New Roman" w:eastAsia="宋体" w:hAnsi="Times New Roman" w:cs="Times New Roman"/>
                  <w:b w:val="0"/>
                  <w:kern w:val="0"/>
                  <w:sz w:val="20"/>
                  <w:szCs w:val="20"/>
                  <w:lang w:val="en-GB" w:eastAsia="en-US"/>
                </w:rPr>
                <w:tab/>
                <w:t>RAN1 to clarify the intentions of the FFS’s for UL frequency compensation after clarifying the meanings of open-loop and closed-loop.</w:t>
              </w:r>
            </w:hyperlink>
          </w:p>
          <w:p w14:paraId="2BD14FA2"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29" w:history="1">
              <w:r w:rsidR="00424510" w:rsidRPr="0029659D">
                <w:rPr>
                  <w:rFonts w:ascii="Times New Roman" w:eastAsia="宋体" w:hAnsi="Times New Roman" w:cs="Times New Roman"/>
                  <w:b w:val="0"/>
                  <w:kern w:val="0"/>
                  <w:sz w:val="20"/>
                  <w:szCs w:val="20"/>
                  <w:lang w:val="en-GB" w:eastAsia="en-US"/>
                </w:rPr>
                <w:t>Proposal 4</w:t>
              </w:r>
              <w:r w:rsidR="00424510" w:rsidRPr="0029659D">
                <w:rPr>
                  <w:rFonts w:ascii="Times New Roman" w:eastAsia="宋体" w:hAnsi="Times New Roman" w:cs="Times New Roman"/>
                  <w:b w:val="0"/>
                  <w:kern w:val="0"/>
                  <w:sz w:val="20"/>
                  <w:szCs w:val="20"/>
                  <w:lang w:val="en-GB" w:eastAsia="en-US"/>
                </w:rPr>
                <w:tab/>
                <w:t>At least LEO NTN should support network to signal Doppler rate to assist with UE frequency and time tracking.</w:t>
              </w:r>
            </w:hyperlink>
          </w:p>
          <w:p w14:paraId="17E8C17C"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0" w:history="1">
              <w:r w:rsidR="00424510" w:rsidRPr="0029659D">
                <w:rPr>
                  <w:rFonts w:ascii="Times New Roman" w:eastAsia="宋体" w:hAnsi="Times New Roman" w:cs="Times New Roman"/>
                  <w:b w:val="0"/>
                  <w:kern w:val="0"/>
                  <w:sz w:val="20"/>
                  <w:szCs w:val="20"/>
                  <w:lang w:val="en-GB" w:eastAsia="en-US"/>
                </w:rPr>
                <w:t>Proposal 5</w:t>
              </w:r>
              <w:r w:rsidR="00424510" w:rsidRPr="0029659D">
                <w:rPr>
                  <w:rFonts w:ascii="Times New Roman" w:eastAsia="宋体" w:hAnsi="Times New Roman" w:cs="Times New Roman"/>
                  <w:b w:val="0"/>
                  <w:kern w:val="0"/>
                  <w:sz w:val="20"/>
                  <w:szCs w:val="20"/>
                  <w:lang w:val="en-GB" w:eastAsia="en-US"/>
                </w:rPr>
                <w:tab/>
                <w:t>RAN1 to use Table 2 as the starting point for discussing PRACH formats in different NTN scenarios.</w:t>
              </w:r>
            </w:hyperlink>
          </w:p>
          <w:p w14:paraId="57537E66"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1" w:history="1">
              <w:r w:rsidR="00424510" w:rsidRPr="0029659D">
                <w:rPr>
                  <w:rFonts w:ascii="Times New Roman" w:eastAsia="宋体" w:hAnsi="Times New Roman" w:cs="Times New Roman"/>
                  <w:b w:val="0"/>
                  <w:kern w:val="0"/>
                  <w:sz w:val="20"/>
                  <w:szCs w:val="20"/>
                  <w:lang w:val="en-GB" w:eastAsia="en-US"/>
                </w:rPr>
                <w:t>Proposal 6</w:t>
              </w:r>
              <w:r w:rsidR="00424510" w:rsidRPr="0029659D">
                <w:rPr>
                  <w:rFonts w:ascii="Times New Roman" w:eastAsia="宋体" w:hAnsi="Times New Roman" w:cs="Times New Roman"/>
                  <w:b w:val="0"/>
                  <w:kern w:val="0"/>
                  <w:sz w:val="20"/>
                  <w:szCs w:val="20"/>
                  <w:lang w:val="en-GB" w:eastAsia="en-US"/>
                </w:rPr>
                <w:tab/>
                <w:t>NTN should support configuration of separate RACH occasions for open-loop access UEs and closed-loop access UEs.</w:t>
              </w:r>
            </w:hyperlink>
          </w:p>
          <w:p w14:paraId="3924EC6B"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2" w:history="1">
              <w:r w:rsidR="00424510" w:rsidRPr="0029659D">
                <w:rPr>
                  <w:rFonts w:ascii="Times New Roman" w:eastAsia="宋体" w:hAnsi="Times New Roman" w:cs="Times New Roman"/>
                  <w:b w:val="0"/>
                  <w:kern w:val="0"/>
                  <w:sz w:val="20"/>
                  <w:szCs w:val="20"/>
                  <w:lang w:val="en-GB" w:eastAsia="en-US"/>
                </w:rPr>
                <w:t>Proposal 7</w:t>
              </w:r>
              <w:r w:rsidR="00424510" w:rsidRPr="0029659D">
                <w:rPr>
                  <w:rFonts w:ascii="Times New Roman" w:eastAsia="宋体" w:hAnsi="Times New Roman" w:cs="Times New Roman"/>
                  <w:b w:val="0"/>
                  <w:kern w:val="0"/>
                  <w:sz w:val="20"/>
                  <w:szCs w:val="20"/>
                  <w:lang w:val="en-GB" w:eastAsia="en-US"/>
                </w:rPr>
                <w:tab/>
                <w:t>RAN1 to study whether it is possible to improve legacy PRACH detector to cope with large Doppler shift using existing PRACH formats.</w:t>
              </w:r>
            </w:hyperlink>
          </w:p>
          <w:p w14:paraId="588E84C9"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3" w:history="1">
              <w:r w:rsidR="00424510" w:rsidRPr="0029659D">
                <w:rPr>
                  <w:rFonts w:ascii="Times New Roman" w:eastAsia="宋体" w:hAnsi="Times New Roman" w:cs="Times New Roman"/>
                  <w:b w:val="0"/>
                  <w:kern w:val="0"/>
                  <w:sz w:val="20"/>
                  <w:szCs w:val="20"/>
                  <w:lang w:val="en-GB" w:eastAsia="en-US"/>
                </w:rPr>
                <w:t>Proposal 8</w:t>
              </w:r>
              <w:r w:rsidR="00424510" w:rsidRPr="0029659D">
                <w:rPr>
                  <w:rFonts w:ascii="Times New Roman" w:eastAsia="宋体" w:hAnsi="Times New Roman" w:cs="Times New Roman"/>
                  <w:b w:val="0"/>
                  <w:kern w:val="0"/>
                  <w:sz w:val="20"/>
                  <w:szCs w:val="20"/>
                  <w:lang w:val="en-GB" w:eastAsia="en-US"/>
                </w:rPr>
                <w:tab/>
                <w:t>RAN1 to study how to resolve the timing and Doppler ambiguities in PRACH for LEO NTN where there may be large timing errors and Doppler shifts associated with MSG1.</w:t>
              </w:r>
            </w:hyperlink>
          </w:p>
          <w:p w14:paraId="6E88EA89"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4" w:history="1">
              <w:r w:rsidR="00424510" w:rsidRPr="0029659D">
                <w:rPr>
                  <w:rFonts w:ascii="Times New Roman" w:eastAsia="宋体" w:hAnsi="Times New Roman" w:cs="Times New Roman"/>
                  <w:b w:val="0"/>
                  <w:kern w:val="0"/>
                  <w:sz w:val="20"/>
                  <w:szCs w:val="20"/>
                  <w:lang w:val="en-GB" w:eastAsia="en-US"/>
                </w:rPr>
                <w:t>Proposal 9</w:t>
              </w:r>
              <w:r w:rsidR="00424510" w:rsidRPr="0029659D">
                <w:rPr>
                  <w:rFonts w:ascii="Times New Roman" w:eastAsia="宋体" w:hAnsi="Times New Roman" w:cs="Times New Roman"/>
                  <w:b w:val="0"/>
                  <w:kern w:val="0"/>
                  <w:sz w:val="20"/>
                  <w:szCs w:val="20"/>
                  <w:lang w:val="en-GB" w:eastAsia="en-US"/>
                </w:rPr>
                <w:tab/>
                <w:t>RAN1 to wait for RAN2 input before proceeding on issues (if any) related to RAR window in NTN.</w:t>
              </w:r>
            </w:hyperlink>
          </w:p>
          <w:p w14:paraId="159A699B" w14:textId="77777777" w:rsidR="00424510" w:rsidRPr="0029659D" w:rsidRDefault="0055630A" w:rsidP="00B94F95">
            <w:pPr>
              <w:pStyle w:val="TableofFigures"/>
              <w:tabs>
                <w:tab w:val="right" w:leader="dot" w:pos="9629"/>
              </w:tabs>
              <w:adjustRightInd w:val="0"/>
              <w:snapToGrid w:val="0"/>
              <w:spacing w:after="0"/>
              <w:rPr>
                <w:rFonts w:ascii="Times New Roman" w:eastAsia="宋体" w:hAnsi="Times New Roman" w:cs="Times New Roman"/>
                <w:b w:val="0"/>
                <w:kern w:val="0"/>
                <w:sz w:val="20"/>
                <w:szCs w:val="20"/>
                <w:lang w:val="en-GB" w:eastAsia="en-US"/>
              </w:rPr>
            </w:pPr>
            <w:hyperlink w:anchor="_Toc16849435" w:history="1">
              <w:r w:rsidR="00424510" w:rsidRPr="0029659D">
                <w:rPr>
                  <w:rFonts w:ascii="Times New Roman" w:eastAsia="宋体" w:hAnsi="Times New Roman" w:cs="Times New Roman"/>
                  <w:b w:val="0"/>
                  <w:kern w:val="0"/>
                  <w:sz w:val="20"/>
                  <w:szCs w:val="20"/>
                  <w:lang w:val="en-GB" w:eastAsia="en-US"/>
                </w:rPr>
                <w:t>Proposal 10</w:t>
              </w:r>
              <w:r w:rsidR="00424510" w:rsidRPr="0029659D">
                <w:rPr>
                  <w:rFonts w:ascii="Times New Roman" w:eastAsia="宋体" w:hAnsi="Times New Roman" w:cs="Times New Roman"/>
                  <w:b w:val="0"/>
                  <w:kern w:val="0"/>
                  <w:sz w:val="20"/>
                  <w:szCs w:val="20"/>
                  <w:lang w:val="en-GB" w:eastAsia="en-US"/>
                </w:rPr>
                <w:tab/>
                <w:t>RAN1 to identify the scenarios where broadcast signaling is sufficient and where dedicated signaling is needed to cope with the timing drift.</w:t>
              </w:r>
            </w:hyperlink>
          </w:p>
          <w:p w14:paraId="75A04E46" w14:textId="5FD21F12" w:rsidR="00DF3183" w:rsidRPr="0029659D" w:rsidRDefault="00424510" w:rsidP="00B94F95">
            <w:pPr>
              <w:snapToGrid w:val="0"/>
              <w:spacing w:after="0"/>
            </w:pPr>
            <w:r w:rsidRPr="0029659D">
              <w:fldChar w:fldCharType="end"/>
            </w:r>
          </w:p>
        </w:tc>
      </w:tr>
      <w:tr w:rsidR="00DF3183" w:rsidRPr="0029659D" w14:paraId="0079B0D4" w14:textId="77777777" w:rsidTr="009F01EA">
        <w:trPr>
          <w:trHeight w:val="420"/>
          <w:jc w:val="center"/>
        </w:trPr>
        <w:tc>
          <w:tcPr>
            <w:tcW w:w="0" w:type="auto"/>
            <w:shd w:val="clear" w:color="auto" w:fill="auto"/>
            <w:vAlign w:val="center"/>
            <w:hideMark/>
          </w:tcPr>
          <w:p w14:paraId="564FB85B" w14:textId="77777777" w:rsidR="00DF3183" w:rsidRPr="0029659D" w:rsidRDefault="0055630A" w:rsidP="00B94F95">
            <w:pPr>
              <w:snapToGrid w:val="0"/>
              <w:spacing w:after="0"/>
              <w:jc w:val="center"/>
            </w:pPr>
            <w:hyperlink r:id="rId29" w:history="1">
              <w:r w:rsidR="00DF3183" w:rsidRPr="0029659D">
                <w:t>R1-1909261</w:t>
              </w:r>
            </w:hyperlink>
          </w:p>
          <w:p w14:paraId="4B605AD1" w14:textId="77777777" w:rsidR="00DF3183" w:rsidRPr="0029659D" w:rsidRDefault="00DF3183" w:rsidP="00B94F95">
            <w:pPr>
              <w:snapToGrid w:val="0"/>
              <w:spacing w:after="0"/>
              <w:jc w:val="center"/>
            </w:pPr>
            <w:r w:rsidRPr="0029659D">
              <w:t>QC</w:t>
            </w:r>
          </w:p>
        </w:tc>
        <w:tc>
          <w:tcPr>
            <w:tcW w:w="0" w:type="auto"/>
            <w:vAlign w:val="center"/>
          </w:tcPr>
          <w:p w14:paraId="29885E89" w14:textId="77777777" w:rsidR="00424510" w:rsidRPr="0029659D" w:rsidRDefault="00424510" w:rsidP="00B94F95">
            <w:pPr>
              <w:tabs>
                <w:tab w:val="left" w:pos="1752"/>
              </w:tabs>
              <w:snapToGrid w:val="0"/>
              <w:spacing w:after="0"/>
            </w:pPr>
            <w:r w:rsidRPr="0029659D">
              <w:t>Proposal 1: For NTN operations that don’t require UE’s knowledge of geolocation, support periodically broadcasting of the round-trip delay and the Doppler frequency seen at the beam center,</w:t>
            </w:r>
          </w:p>
          <w:p w14:paraId="6F9F6BA8" w14:textId="77777777" w:rsidR="00424510" w:rsidRPr="0029659D" w:rsidRDefault="00424510" w:rsidP="00B94F95">
            <w:pPr>
              <w:snapToGrid w:val="0"/>
              <w:spacing w:after="0"/>
            </w:pPr>
            <w:r w:rsidRPr="0029659D">
              <w:t xml:space="preserve">Observation 1: Using 2-rooted preamble PRACH preambles considerably increases the supported beam footprint diameters in NTN. </w:t>
            </w:r>
          </w:p>
          <w:p w14:paraId="51F20D95" w14:textId="77777777" w:rsidR="00424510" w:rsidRPr="0029659D" w:rsidRDefault="00424510" w:rsidP="00B94F95">
            <w:pPr>
              <w:snapToGrid w:val="0"/>
              <w:spacing w:after="0"/>
            </w:pPr>
            <w:r w:rsidRPr="0029659D">
              <w:t xml:space="preserve">Proposal 2: For NTN, consider the use of 2-rooted preambles and study related PRACH occasions design. </w:t>
            </w:r>
          </w:p>
          <w:p w14:paraId="4DFFE937" w14:textId="77777777" w:rsidR="00424510" w:rsidRPr="0029659D" w:rsidRDefault="00424510" w:rsidP="00B94F95">
            <w:pPr>
              <w:snapToGrid w:val="0"/>
              <w:spacing w:after="0"/>
            </w:pPr>
            <w:r w:rsidRPr="0029659D">
              <w:t>Proposal 3: To further increase the beam footprint diameter, consider the use of 2-rooted PRACH preambles with new formats.</w:t>
            </w:r>
          </w:p>
          <w:p w14:paraId="6DA2C5E2" w14:textId="77777777" w:rsidR="00424510" w:rsidRPr="0029659D" w:rsidRDefault="00424510" w:rsidP="00B94F95">
            <w:pPr>
              <w:snapToGrid w:val="0"/>
              <w:spacing w:after="0"/>
            </w:pPr>
            <w:r w:rsidRPr="0029659D">
              <w:t>Proposal 4: For NTN, support PRACH format configuration per beam.</w:t>
            </w:r>
          </w:p>
          <w:p w14:paraId="188E6651" w14:textId="77777777" w:rsidR="00424510" w:rsidRPr="0029659D" w:rsidRDefault="00424510" w:rsidP="00B94F95">
            <w:pPr>
              <w:snapToGrid w:val="0"/>
              <w:spacing w:after="0"/>
            </w:pPr>
            <w:r w:rsidRPr="0029659D">
              <w:t xml:space="preserve">Proposal 5: Support more flexible and beam-specific configuration of PRACH occasions. </w:t>
            </w:r>
          </w:p>
          <w:p w14:paraId="29F7E49A" w14:textId="77777777" w:rsidR="00424510" w:rsidRPr="0029659D" w:rsidRDefault="00424510" w:rsidP="00B94F95">
            <w:pPr>
              <w:snapToGrid w:val="0"/>
              <w:spacing w:after="0"/>
            </w:pPr>
          </w:p>
          <w:p w14:paraId="2609C41C" w14:textId="77777777" w:rsidR="00424510" w:rsidRPr="0029659D" w:rsidRDefault="00424510" w:rsidP="00B94F95">
            <w:pPr>
              <w:snapToGrid w:val="0"/>
              <w:spacing w:after="0"/>
            </w:pPr>
            <w:r w:rsidRPr="0029659D">
              <w:t>On UL timing and frequency control, we have the following observation and proposals:</w:t>
            </w:r>
          </w:p>
          <w:p w14:paraId="5FB529AE" w14:textId="77777777" w:rsidR="00424510" w:rsidRPr="0029659D" w:rsidRDefault="00424510" w:rsidP="00B94F95">
            <w:pPr>
              <w:snapToGrid w:val="0"/>
              <w:spacing w:after="0"/>
            </w:pPr>
          </w:p>
          <w:p w14:paraId="440CEB4D" w14:textId="77777777" w:rsidR="00424510" w:rsidRPr="0029659D" w:rsidRDefault="00424510" w:rsidP="00B94F95">
            <w:pPr>
              <w:snapToGrid w:val="0"/>
              <w:spacing w:after="0"/>
            </w:pPr>
            <w:r w:rsidRPr="0029659D">
              <w:t>Observation 2: NR closed-loop timing control mechanism is not sufficient for NTN.</w:t>
            </w:r>
          </w:p>
          <w:p w14:paraId="3EABC2D0" w14:textId="77777777" w:rsidR="00424510" w:rsidRPr="0029659D" w:rsidRDefault="00424510" w:rsidP="00B94F95">
            <w:pPr>
              <w:snapToGrid w:val="0"/>
              <w:spacing w:after="0"/>
            </w:pPr>
            <w:r w:rsidRPr="0029659D">
              <w:t>Proposal 6: In NTN, UE autonomous open-loop timing control is required.</w:t>
            </w:r>
          </w:p>
          <w:p w14:paraId="5E5D773C" w14:textId="77777777" w:rsidR="00424510" w:rsidRPr="0029659D" w:rsidRDefault="00424510" w:rsidP="00B94F95">
            <w:pPr>
              <w:snapToGrid w:val="0"/>
              <w:spacing w:after="0"/>
            </w:pPr>
            <w:r w:rsidRPr="0029659D">
              <w:t>Proposal 7: Consider group-common DCI for UL timing control in NTN.</w:t>
            </w:r>
          </w:p>
          <w:p w14:paraId="42B41230" w14:textId="77777777" w:rsidR="00424510" w:rsidRPr="0029659D" w:rsidRDefault="00424510" w:rsidP="00B94F95">
            <w:pPr>
              <w:snapToGrid w:val="0"/>
              <w:spacing w:after="0"/>
            </w:pPr>
            <w:r w:rsidRPr="0029659D">
              <w:t xml:space="preserve">Proposal 8: Support closed-loop UL frequency control and study the associated signalling aspects for NTN.  </w:t>
            </w:r>
          </w:p>
          <w:p w14:paraId="4A88E302" w14:textId="4D505376" w:rsidR="00DF3183" w:rsidRPr="0029659D" w:rsidRDefault="00424510" w:rsidP="00EA69C7">
            <w:pPr>
              <w:snapToGrid w:val="0"/>
              <w:spacing w:after="0"/>
            </w:pPr>
            <w:r w:rsidRPr="0029659D">
              <w:t>Proposal 9: Study enhanced SRS design to support efficient estimation of large timing and frequency offset.</w:t>
            </w:r>
          </w:p>
        </w:tc>
      </w:tr>
      <w:tr w:rsidR="00DF3183" w:rsidRPr="000D74AF" w14:paraId="2DD34B20" w14:textId="77777777" w:rsidTr="009F01EA">
        <w:trPr>
          <w:trHeight w:val="400"/>
          <w:jc w:val="center"/>
        </w:trPr>
        <w:tc>
          <w:tcPr>
            <w:tcW w:w="0" w:type="auto"/>
            <w:shd w:val="clear" w:color="auto" w:fill="auto"/>
            <w:vAlign w:val="center"/>
            <w:hideMark/>
          </w:tcPr>
          <w:p w14:paraId="5781541C" w14:textId="77777777" w:rsidR="00DF3183" w:rsidRPr="0029659D" w:rsidRDefault="0055630A" w:rsidP="00B94F95">
            <w:pPr>
              <w:snapToGrid w:val="0"/>
              <w:spacing w:after="0"/>
              <w:jc w:val="center"/>
            </w:pPr>
            <w:hyperlink r:id="rId30" w:history="1">
              <w:r w:rsidR="00DF3183" w:rsidRPr="0029659D">
                <w:t>R1-1909400</w:t>
              </w:r>
            </w:hyperlink>
          </w:p>
          <w:p w14:paraId="17849EA0" w14:textId="77777777" w:rsidR="00DF3183" w:rsidRPr="0029659D" w:rsidRDefault="00DF3183" w:rsidP="00B94F95">
            <w:pPr>
              <w:snapToGrid w:val="0"/>
              <w:spacing w:after="0"/>
              <w:jc w:val="center"/>
            </w:pPr>
            <w:r w:rsidRPr="0029659D">
              <w:t>ZTE</w:t>
            </w:r>
          </w:p>
        </w:tc>
        <w:tc>
          <w:tcPr>
            <w:tcW w:w="0" w:type="auto"/>
            <w:vAlign w:val="center"/>
          </w:tcPr>
          <w:p w14:paraId="746B5F5B" w14:textId="77777777" w:rsidR="00424510" w:rsidRPr="0029659D" w:rsidRDefault="00424510" w:rsidP="00B94F95">
            <w:pPr>
              <w:snapToGrid w:val="0"/>
              <w:spacing w:after="0"/>
              <w:jc w:val="both"/>
            </w:pPr>
            <w:r w:rsidRPr="0029659D">
              <w:t>Observation 1: Robust DL synchronization performance can be achieved via NR-SSB detection.</w:t>
            </w:r>
          </w:p>
          <w:p w14:paraId="56361DCB" w14:textId="77777777" w:rsidR="00424510" w:rsidRPr="0029659D" w:rsidRDefault="00424510" w:rsidP="00B94F95">
            <w:pPr>
              <w:snapToGrid w:val="0"/>
              <w:spacing w:after="0"/>
              <w:jc w:val="both"/>
            </w:pPr>
            <w:r w:rsidRPr="0029659D">
              <w:t>Observation 2: Residual frequency offset at UE side is negligible.</w:t>
            </w:r>
          </w:p>
          <w:p w14:paraId="7521D8C6" w14:textId="77777777" w:rsidR="00424510" w:rsidRPr="0029659D" w:rsidRDefault="00424510" w:rsidP="00B94F95">
            <w:pPr>
              <w:tabs>
                <w:tab w:val="right" w:pos="9404"/>
              </w:tabs>
              <w:snapToGrid w:val="0"/>
              <w:spacing w:after="0"/>
              <w:jc w:val="both"/>
            </w:pPr>
            <w:r w:rsidRPr="0029659D">
              <w:t>Observation 3: Open-loop mechanism for UL synchronization on frequency is sufficient for NTN.</w:t>
            </w:r>
          </w:p>
          <w:p w14:paraId="2E861094" w14:textId="77777777" w:rsidR="00424510" w:rsidRPr="0029659D" w:rsidRDefault="00424510" w:rsidP="00B94F95">
            <w:pPr>
              <w:snapToGrid w:val="0"/>
              <w:spacing w:after="0"/>
              <w:jc w:val="both"/>
            </w:pPr>
            <w:r w:rsidRPr="0029659D">
              <w:t>Observation 4: Ncs is not applicable for all cases due to large coverage range.</w:t>
            </w:r>
          </w:p>
          <w:p w14:paraId="6836BFED" w14:textId="77777777" w:rsidR="00424510" w:rsidRPr="0029659D" w:rsidRDefault="00424510" w:rsidP="00B94F95">
            <w:pPr>
              <w:snapToGrid w:val="0"/>
              <w:spacing w:after="0"/>
              <w:jc w:val="both"/>
            </w:pPr>
            <w:r w:rsidRPr="0029659D">
              <w:t>Observation 5: For S-band, the minimum applicable SCS is 60 kHz and not value in existing NR is valid for Ka band in NTN.</w:t>
            </w:r>
          </w:p>
          <w:p w14:paraId="176DCFDA" w14:textId="77777777" w:rsidR="00424510" w:rsidRPr="0029659D" w:rsidRDefault="00424510" w:rsidP="00B94F95">
            <w:pPr>
              <w:snapToGrid w:val="0"/>
              <w:spacing w:after="0"/>
              <w:jc w:val="both"/>
            </w:pPr>
            <w:r w:rsidRPr="0029659D">
              <w:t xml:space="preserve">Observation 6: Performance of existing RACH format with enlarged SCS is failed to satisfy the NR requirement. </w:t>
            </w:r>
          </w:p>
          <w:p w14:paraId="6ACB8F1F" w14:textId="77777777" w:rsidR="00424510" w:rsidRPr="0029659D" w:rsidRDefault="00424510" w:rsidP="00B94F95">
            <w:pPr>
              <w:snapToGrid w:val="0"/>
              <w:spacing w:after="0"/>
              <w:jc w:val="both"/>
            </w:pPr>
            <w:r w:rsidRPr="0029659D">
              <w:t xml:space="preserve">Observation 7: Enhanced performance can be introduced in case of larger repetition number in RACH design. </w:t>
            </w:r>
          </w:p>
          <w:p w14:paraId="1E3E898E" w14:textId="77777777" w:rsidR="00424510" w:rsidRPr="0029659D" w:rsidRDefault="00424510" w:rsidP="00B94F95">
            <w:pPr>
              <w:snapToGrid w:val="0"/>
              <w:spacing w:after="0"/>
              <w:jc w:val="both"/>
            </w:pPr>
            <w:r w:rsidRPr="0029659D">
              <w:t>Observation 8: Short CP in existing NR is not beneficial in NTN.</w:t>
            </w:r>
          </w:p>
          <w:p w14:paraId="602FD8A3" w14:textId="77777777" w:rsidR="00424510" w:rsidRPr="0029659D" w:rsidRDefault="00424510" w:rsidP="00B94F95">
            <w:pPr>
              <w:tabs>
                <w:tab w:val="right" w:pos="9404"/>
              </w:tabs>
              <w:snapToGrid w:val="0"/>
              <w:spacing w:after="0"/>
              <w:jc w:val="both"/>
            </w:pPr>
            <w:r w:rsidRPr="0029659D">
              <w:t>Proposal 1: Closed-loop mechanism for UL synchronization on timing can be considered for NTN with following enhancement:</w:t>
            </w:r>
          </w:p>
          <w:p w14:paraId="2696CD11" w14:textId="77777777" w:rsidR="00424510" w:rsidRPr="0029659D" w:rsidRDefault="00424510" w:rsidP="00207430">
            <w:pPr>
              <w:numPr>
                <w:ilvl w:val="1"/>
                <w:numId w:val="30"/>
              </w:numPr>
              <w:overflowPunct/>
              <w:autoSpaceDE/>
              <w:autoSpaceDN/>
              <w:snapToGrid w:val="0"/>
              <w:spacing w:after="0"/>
              <w:ind w:left="891"/>
              <w:jc w:val="both"/>
              <w:textAlignment w:val="auto"/>
            </w:pPr>
            <w:r w:rsidRPr="0029659D">
              <w:t xml:space="preserve">Broadcasting of common TA to the UEs </w:t>
            </w:r>
          </w:p>
          <w:p w14:paraId="0245D594" w14:textId="77777777" w:rsidR="00424510" w:rsidRPr="0029659D" w:rsidRDefault="00424510" w:rsidP="00207430">
            <w:pPr>
              <w:numPr>
                <w:ilvl w:val="1"/>
                <w:numId w:val="30"/>
              </w:numPr>
              <w:overflowPunct/>
              <w:autoSpaceDE/>
              <w:autoSpaceDN/>
              <w:snapToGrid w:val="0"/>
              <w:spacing w:after="0"/>
              <w:ind w:left="891"/>
              <w:jc w:val="both"/>
              <w:textAlignment w:val="auto"/>
            </w:pPr>
            <w:r w:rsidRPr="0029659D">
              <w:t>Prediction of TA value</w:t>
            </w:r>
            <w:r w:rsidRPr="0029659D">
              <w:tab/>
            </w:r>
          </w:p>
          <w:p w14:paraId="4C1F3E6B" w14:textId="77777777" w:rsidR="00424510" w:rsidRPr="0029659D" w:rsidRDefault="00424510" w:rsidP="00207430">
            <w:pPr>
              <w:numPr>
                <w:ilvl w:val="1"/>
                <w:numId w:val="30"/>
              </w:numPr>
              <w:overflowPunct/>
              <w:autoSpaceDE/>
              <w:autoSpaceDN/>
              <w:snapToGrid w:val="0"/>
              <w:spacing w:after="0"/>
              <w:ind w:left="891"/>
              <w:jc w:val="both"/>
              <w:textAlignment w:val="auto"/>
            </w:pPr>
            <w:r w:rsidRPr="0029659D">
              <w:t>UE group-based TA adjustment.</w:t>
            </w:r>
          </w:p>
          <w:p w14:paraId="65AA7CCB" w14:textId="77777777" w:rsidR="00424510" w:rsidRPr="0029659D" w:rsidRDefault="00424510" w:rsidP="00B94F95">
            <w:pPr>
              <w:tabs>
                <w:tab w:val="right" w:pos="9404"/>
              </w:tabs>
              <w:snapToGrid w:val="0"/>
              <w:spacing w:after="0"/>
              <w:jc w:val="both"/>
            </w:pPr>
            <w:r w:rsidRPr="0029659D">
              <w:t xml:space="preserve">Proposal 2: Reporting on the UE capability and separated resource configuration for UL can be considered in case of both open and closed mechanisms for UL synchronization are considered in NTN. </w:t>
            </w:r>
          </w:p>
          <w:p w14:paraId="58825422" w14:textId="77777777" w:rsidR="00424510" w:rsidRPr="0029659D" w:rsidRDefault="00424510" w:rsidP="00B94F95">
            <w:pPr>
              <w:snapToGrid w:val="0"/>
              <w:spacing w:after="0"/>
              <w:jc w:val="both"/>
            </w:pPr>
            <w:r w:rsidRPr="0029659D">
              <w:t>Proposal 3: Pre-compensation on the frequency offset for UL should be considered for PRACH design in NTN, at least for Ka band.</w:t>
            </w:r>
          </w:p>
          <w:p w14:paraId="1AE274C5" w14:textId="77777777" w:rsidR="00424510" w:rsidRPr="0029659D" w:rsidRDefault="00424510" w:rsidP="00B94F95">
            <w:pPr>
              <w:snapToGrid w:val="0"/>
              <w:spacing w:after="0"/>
              <w:jc w:val="both"/>
            </w:pPr>
            <w:r w:rsidRPr="0029659D">
              <w:t>Proposal 4: Without pre-compensation on the frequency offset for UL, the minimum applicable SCS should be configured as 60 KHz for PRACH design in S-band.</w:t>
            </w:r>
          </w:p>
          <w:p w14:paraId="55C62702" w14:textId="3EC5F652" w:rsidR="00DF3183" w:rsidRPr="000D74AF" w:rsidRDefault="00424510" w:rsidP="00B94F95">
            <w:pPr>
              <w:snapToGrid w:val="0"/>
              <w:spacing w:after="0"/>
              <w:jc w:val="both"/>
            </w:pPr>
            <w:r w:rsidRPr="0029659D">
              <w:t>Proposal 5: Existing NR format should be enhanced with consideration of additional sequence design.</w:t>
            </w:r>
          </w:p>
        </w:tc>
      </w:tr>
    </w:tbl>
    <w:p w14:paraId="0F82872A" w14:textId="4C0DE574" w:rsidR="00AA026D" w:rsidRDefault="00AA026D" w:rsidP="00DF3183">
      <w:pPr>
        <w:spacing w:afterLines="50" w:after="120"/>
        <w:rPr>
          <w:rFonts w:eastAsiaTheme="minorEastAsia"/>
          <w:b/>
          <w:sz w:val="21"/>
          <w:lang w:eastAsia="zh-CN"/>
        </w:rPr>
      </w:pPr>
    </w:p>
    <w:p w14:paraId="2B2C02CC" w14:textId="77777777" w:rsidR="00BC7019" w:rsidRPr="00AF2ADF" w:rsidRDefault="00BC7019" w:rsidP="00AA026D">
      <w:pPr>
        <w:rPr>
          <w:rFonts w:eastAsiaTheme="minorEastAsia"/>
          <w:lang w:eastAsia="zh-CN"/>
        </w:rPr>
      </w:pPr>
    </w:p>
    <w:sectPr w:rsidR="00BC7019" w:rsidRPr="00AF2ADF">
      <w:headerReference w:type="even" r:id="rId31"/>
      <w:footerReference w:type="even" r:id="rId32"/>
      <w:footerReference w:type="default" r:id="rId3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17AD9" w14:textId="77777777" w:rsidR="0055630A" w:rsidRDefault="0055630A">
      <w:pPr>
        <w:spacing w:after="0"/>
      </w:pPr>
      <w:r>
        <w:separator/>
      </w:r>
    </w:p>
  </w:endnote>
  <w:endnote w:type="continuationSeparator" w:id="0">
    <w:p w14:paraId="59E3A417" w14:textId="77777777" w:rsidR="0055630A" w:rsidRDefault="00556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B4264E" w:rsidRDefault="00B426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B4264E" w:rsidRDefault="00B426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7777777" w:rsidR="00B4264E" w:rsidRDefault="00B4264E">
    <w:pPr>
      <w:pStyle w:val="Footer"/>
      <w:ind w:right="360"/>
    </w:pPr>
    <w:r>
      <w:rPr>
        <w:rStyle w:val="PageNumber"/>
      </w:rPr>
      <w:fldChar w:fldCharType="begin"/>
    </w:r>
    <w:r>
      <w:rPr>
        <w:rStyle w:val="PageNumber"/>
      </w:rPr>
      <w:instrText xml:space="preserve"> PAGE </w:instrText>
    </w:r>
    <w:r>
      <w:rPr>
        <w:rStyle w:val="PageNumber"/>
      </w:rPr>
      <w:fldChar w:fldCharType="separate"/>
    </w:r>
    <w:r w:rsidR="00AF006B">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006B">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C3865" w14:textId="77777777" w:rsidR="0055630A" w:rsidRDefault="0055630A">
      <w:pPr>
        <w:spacing w:after="0"/>
      </w:pPr>
      <w:r>
        <w:separator/>
      </w:r>
    </w:p>
  </w:footnote>
  <w:footnote w:type="continuationSeparator" w:id="0">
    <w:p w14:paraId="34AF5185" w14:textId="77777777" w:rsidR="0055630A" w:rsidRDefault="005563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B4264E" w:rsidRDefault="00B4264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7B63"/>
    <w:multiLevelType w:val="multilevel"/>
    <w:tmpl w:val="8FA65590"/>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2"/>
      <w:numFmt w:val="bullet"/>
      <w:lvlText w:val="-"/>
      <w:lvlJc w:val="left"/>
      <w:pPr>
        <w:ind w:left="1548" w:hanging="420"/>
      </w:pPr>
      <w:rPr>
        <w:rFonts w:ascii="Calibri" w:eastAsia="Malgun Gothic" w:hAnsi="Calibri" w:cs="Times New Roman"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CF25FA0"/>
    <w:multiLevelType w:val="multilevel"/>
    <w:tmpl w:val="8F8C7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320F8"/>
    <w:multiLevelType w:val="multilevel"/>
    <w:tmpl w:val="F3E2E9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AE407A"/>
    <w:multiLevelType w:val="hybridMultilevel"/>
    <w:tmpl w:val="879E33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190A52"/>
    <w:multiLevelType w:val="hybridMultilevel"/>
    <w:tmpl w:val="5D283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94345"/>
    <w:multiLevelType w:val="hybridMultilevel"/>
    <w:tmpl w:val="3A820124"/>
    <w:lvl w:ilvl="0" w:tplc="ED96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81D7E39"/>
    <w:multiLevelType w:val="hybridMultilevel"/>
    <w:tmpl w:val="1700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64D87"/>
    <w:multiLevelType w:val="hybridMultilevel"/>
    <w:tmpl w:val="2860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D64FD2"/>
    <w:multiLevelType w:val="hybridMultilevel"/>
    <w:tmpl w:val="3BA8FF54"/>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8C20D6C"/>
    <w:multiLevelType w:val="hybridMultilevel"/>
    <w:tmpl w:val="42EA70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D314DE"/>
    <w:multiLevelType w:val="hybridMultilevel"/>
    <w:tmpl w:val="6BA032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F2389A"/>
    <w:multiLevelType w:val="hybridMultilevel"/>
    <w:tmpl w:val="315013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731C60"/>
    <w:multiLevelType w:val="hybridMultilevel"/>
    <w:tmpl w:val="88269C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65606D"/>
    <w:multiLevelType w:val="multilevel"/>
    <w:tmpl w:val="0EAEA628"/>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59B81F03"/>
    <w:multiLevelType w:val="multilevel"/>
    <w:tmpl w:val="59B81F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A87A9E"/>
    <w:multiLevelType w:val="hybridMultilevel"/>
    <w:tmpl w:val="8BA4A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7AA23C7"/>
    <w:multiLevelType w:val="multilevel"/>
    <w:tmpl w:val="67AA23C7"/>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68A25E4F"/>
    <w:multiLevelType w:val="hybridMultilevel"/>
    <w:tmpl w:val="8794D080"/>
    <w:lvl w:ilvl="0" w:tplc="C31A3D92">
      <w:start w:val="1"/>
      <w:numFmt w:val="decimal"/>
      <w:lvlText w:val="%1."/>
      <w:lvlJc w:val="left"/>
      <w:pPr>
        <w:ind w:left="649" w:hanging="360"/>
      </w:pPr>
      <w:rPr>
        <w:rFonts w:hint="default"/>
      </w:rPr>
    </w:lvl>
    <w:lvl w:ilvl="1" w:tplc="04090019">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abstractNum w:abstractNumId="29" w15:restartNumberingAfterBreak="0">
    <w:nsid w:val="72DC386F"/>
    <w:multiLevelType w:val="multilevel"/>
    <w:tmpl w:val="72DC386F"/>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30" w15:restartNumberingAfterBreak="0">
    <w:nsid w:val="77CE7A17"/>
    <w:multiLevelType w:val="hybridMultilevel"/>
    <w:tmpl w:val="13503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405608"/>
    <w:multiLevelType w:val="multilevel"/>
    <w:tmpl w:val="79405608"/>
    <w:lvl w:ilvl="0">
      <w:start w:val="1"/>
      <w:numFmt w:val="bullet"/>
      <w:lvlText w:val=""/>
      <w:lvlJc w:val="left"/>
      <w:pPr>
        <w:ind w:left="420" w:hanging="420"/>
      </w:pPr>
      <w:rPr>
        <w:rFonts w:ascii="Wingdings" w:hAnsi="Wingding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6E3B9B"/>
    <w:multiLevelType w:val="hybridMultilevel"/>
    <w:tmpl w:val="DE9C8008"/>
    <w:lvl w:ilvl="0" w:tplc="04090001">
      <w:start w:val="1"/>
      <w:numFmt w:val="bullet"/>
      <w:lvlText w:val=""/>
      <w:lvlJc w:val="left"/>
      <w:pPr>
        <w:ind w:left="1040" w:hanging="420"/>
      </w:pPr>
      <w:rPr>
        <w:rFonts w:ascii="Wingdings" w:hAnsi="Wingdings"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BA2CB2"/>
    <w:multiLevelType w:val="hybridMultilevel"/>
    <w:tmpl w:val="8794D080"/>
    <w:lvl w:ilvl="0" w:tplc="C31A3D92">
      <w:start w:val="1"/>
      <w:numFmt w:val="decimal"/>
      <w:lvlText w:val="%1."/>
      <w:lvlJc w:val="left"/>
      <w:pPr>
        <w:ind w:left="649" w:hanging="360"/>
      </w:pPr>
      <w:rPr>
        <w:rFonts w:hint="default"/>
      </w:rPr>
    </w:lvl>
    <w:lvl w:ilvl="1" w:tplc="04090019" w:tentative="1">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num w:numId="1">
    <w:abstractNumId w:val="9"/>
  </w:num>
  <w:num w:numId="2">
    <w:abstractNumId w:val="3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5"/>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5"/>
  </w:num>
  <w:num w:numId="10">
    <w:abstractNumId w:val="31"/>
  </w:num>
  <w:num w:numId="11">
    <w:abstractNumId w:val="24"/>
  </w:num>
  <w:num w:numId="12">
    <w:abstractNumId w:val="27"/>
  </w:num>
  <w:num w:numId="13">
    <w:abstractNumId w:val="28"/>
  </w:num>
  <w:num w:numId="14">
    <w:abstractNumId w:val="34"/>
  </w:num>
  <w:num w:numId="15">
    <w:abstractNumId w:val="21"/>
  </w:num>
  <w:num w:numId="16">
    <w:abstractNumId w:val="19"/>
  </w:num>
  <w:num w:numId="17">
    <w:abstractNumId w:val="0"/>
  </w:num>
  <w:num w:numId="18">
    <w:abstractNumId w:val="18"/>
  </w:num>
  <w:num w:numId="19">
    <w:abstractNumId w:val="10"/>
  </w:num>
  <w:num w:numId="20">
    <w:abstractNumId w:val="8"/>
  </w:num>
  <w:num w:numId="21">
    <w:abstractNumId w:val="12"/>
    <w:lvlOverride w:ilvl="0">
      <w:startOverride w:val="1"/>
    </w:lvlOverride>
  </w:num>
  <w:num w:numId="22">
    <w:abstractNumId w:val="13"/>
  </w:num>
  <w:num w:numId="23">
    <w:abstractNumId w:val="11"/>
  </w:num>
  <w:num w:numId="24">
    <w:abstractNumId w:val="30"/>
  </w:num>
  <w:num w:numId="25">
    <w:abstractNumId w:val="20"/>
  </w:num>
  <w:num w:numId="26">
    <w:abstractNumId w:val="17"/>
  </w:num>
  <w:num w:numId="27">
    <w:abstractNumId w:val="15"/>
  </w:num>
  <w:num w:numId="28">
    <w:abstractNumId w:val="16"/>
  </w:num>
  <w:num w:numId="29">
    <w:abstractNumId w:val="26"/>
  </w:num>
  <w:num w:numId="30">
    <w:abstractNumId w:val="29"/>
  </w:num>
  <w:num w:numId="31">
    <w:abstractNumId w:val="23"/>
  </w:num>
  <w:num w:numId="32">
    <w:abstractNumId w:val="32"/>
  </w:num>
  <w:num w:numId="33">
    <w:abstractNumId w:val="6"/>
  </w:num>
  <w:num w:numId="34">
    <w:abstractNumId w:val="7"/>
  </w:num>
  <w:num w:numId="35">
    <w:abstractNumId w:val="4"/>
  </w:num>
  <w:num w:numId="36">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55C"/>
    <w:rsid w:val="000029A6"/>
    <w:rsid w:val="00003131"/>
    <w:rsid w:val="000032AF"/>
    <w:rsid w:val="00003772"/>
    <w:rsid w:val="000037FB"/>
    <w:rsid w:val="00004556"/>
    <w:rsid w:val="00004885"/>
    <w:rsid w:val="00004CD0"/>
    <w:rsid w:val="00004CE6"/>
    <w:rsid w:val="00004D8C"/>
    <w:rsid w:val="00004DCB"/>
    <w:rsid w:val="00004E10"/>
    <w:rsid w:val="000051F0"/>
    <w:rsid w:val="00005327"/>
    <w:rsid w:val="0000553B"/>
    <w:rsid w:val="00006009"/>
    <w:rsid w:val="00006780"/>
    <w:rsid w:val="00006836"/>
    <w:rsid w:val="0000689E"/>
    <w:rsid w:val="00006C7A"/>
    <w:rsid w:val="00007207"/>
    <w:rsid w:val="000072BD"/>
    <w:rsid w:val="00007500"/>
    <w:rsid w:val="00007605"/>
    <w:rsid w:val="000077B5"/>
    <w:rsid w:val="0000792C"/>
    <w:rsid w:val="00007CEF"/>
    <w:rsid w:val="00007D01"/>
    <w:rsid w:val="0001004F"/>
    <w:rsid w:val="000101EF"/>
    <w:rsid w:val="000106C1"/>
    <w:rsid w:val="00010A25"/>
    <w:rsid w:val="00010BDA"/>
    <w:rsid w:val="00010CF1"/>
    <w:rsid w:val="00010E97"/>
    <w:rsid w:val="00010FD1"/>
    <w:rsid w:val="00011703"/>
    <w:rsid w:val="000123A1"/>
    <w:rsid w:val="000123D2"/>
    <w:rsid w:val="000124D1"/>
    <w:rsid w:val="0001251C"/>
    <w:rsid w:val="00012D90"/>
    <w:rsid w:val="00012F31"/>
    <w:rsid w:val="0001311A"/>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A19"/>
    <w:rsid w:val="00021C67"/>
    <w:rsid w:val="00021DEC"/>
    <w:rsid w:val="000222F7"/>
    <w:rsid w:val="000226C1"/>
    <w:rsid w:val="00022808"/>
    <w:rsid w:val="000228C4"/>
    <w:rsid w:val="00023545"/>
    <w:rsid w:val="00023564"/>
    <w:rsid w:val="000235F3"/>
    <w:rsid w:val="0002398B"/>
    <w:rsid w:val="00023C29"/>
    <w:rsid w:val="00024780"/>
    <w:rsid w:val="00024E37"/>
    <w:rsid w:val="00024E57"/>
    <w:rsid w:val="00024F14"/>
    <w:rsid w:val="0002506A"/>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EC3"/>
    <w:rsid w:val="00027F1D"/>
    <w:rsid w:val="000300FE"/>
    <w:rsid w:val="00030365"/>
    <w:rsid w:val="00030634"/>
    <w:rsid w:val="00030766"/>
    <w:rsid w:val="00030911"/>
    <w:rsid w:val="00030ED5"/>
    <w:rsid w:val="00030F74"/>
    <w:rsid w:val="0003118F"/>
    <w:rsid w:val="00031242"/>
    <w:rsid w:val="00031EDD"/>
    <w:rsid w:val="00032043"/>
    <w:rsid w:val="0003219D"/>
    <w:rsid w:val="000321DC"/>
    <w:rsid w:val="00032A64"/>
    <w:rsid w:val="00032FE5"/>
    <w:rsid w:val="000334D2"/>
    <w:rsid w:val="00033834"/>
    <w:rsid w:val="00033944"/>
    <w:rsid w:val="00033A55"/>
    <w:rsid w:val="00033AE8"/>
    <w:rsid w:val="00033E5C"/>
    <w:rsid w:val="00033EC5"/>
    <w:rsid w:val="000348D8"/>
    <w:rsid w:val="000349B7"/>
    <w:rsid w:val="00034AD4"/>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5B1"/>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989"/>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5E95"/>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EC"/>
    <w:rsid w:val="000725C2"/>
    <w:rsid w:val="00072E75"/>
    <w:rsid w:val="00072EFA"/>
    <w:rsid w:val="000735CE"/>
    <w:rsid w:val="00073785"/>
    <w:rsid w:val="00074350"/>
    <w:rsid w:val="00074375"/>
    <w:rsid w:val="000743A0"/>
    <w:rsid w:val="00074976"/>
    <w:rsid w:val="00074BF5"/>
    <w:rsid w:val="000752CD"/>
    <w:rsid w:val="00075680"/>
    <w:rsid w:val="0007590A"/>
    <w:rsid w:val="00075999"/>
    <w:rsid w:val="00076574"/>
    <w:rsid w:val="00076C2C"/>
    <w:rsid w:val="0007747E"/>
    <w:rsid w:val="00077579"/>
    <w:rsid w:val="00080089"/>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8EE"/>
    <w:rsid w:val="00090E2A"/>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CB"/>
    <w:rsid w:val="000A3E84"/>
    <w:rsid w:val="000A4214"/>
    <w:rsid w:val="000A4264"/>
    <w:rsid w:val="000A444E"/>
    <w:rsid w:val="000A4492"/>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C88"/>
    <w:rsid w:val="000A7E17"/>
    <w:rsid w:val="000B016D"/>
    <w:rsid w:val="000B02C2"/>
    <w:rsid w:val="000B03D0"/>
    <w:rsid w:val="000B0454"/>
    <w:rsid w:val="000B081C"/>
    <w:rsid w:val="000B0A3E"/>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DBD"/>
    <w:rsid w:val="000C1F69"/>
    <w:rsid w:val="000C2DE1"/>
    <w:rsid w:val="000C393F"/>
    <w:rsid w:val="000C3987"/>
    <w:rsid w:val="000C3EB8"/>
    <w:rsid w:val="000C3F16"/>
    <w:rsid w:val="000C3F8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82B"/>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54B7"/>
    <w:rsid w:val="000E5830"/>
    <w:rsid w:val="000E5C4E"/>
    <w:rsid w:val="000E60C1"/>
    <w:rsid w:val="000E633D"/>
    <w:rsid w:val="000E65A7"/>
    <w:rsid w:val="000E6605"/>
    <w:rsid w:val="000E6635"/>
    <w:rsid w:val="000E679D"/>
    <w:rsid w:val="000E69D4"/>
    <w:rsid w:val="000E6F62"/>
    <w:rsid w:val="000E7535"/>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41B"/>
    <w:rsid w:val="000F45CC"/>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FC"/>
    <w:rsid w:val="00102D2E"/>
    <w:rsid w:val="00103370"/>
    <w:rsid w:val="0010341A"/>
    <w:rsid w:val="00103658"/>
    <w:rsid w:val="0010366C"/>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A95"/>
    <w:rsid w:val="00106CC3"/>
    <w:rsid w:val="00106E7E"/>
    <w:rsid w:val="001074D1"/>
    <w:rsid w:val="00107600"/>
    <w:rsid w:val="001107FE"/>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7B8"/>
    <w:rsid w:val="00114949"/>
    <w:rsid w:val="00114A39"/>
    <w:rsid w:val="00114E61"/>
    <w:rsid w:val="00114EA7"/>
    <w:rsid w:val="00115306"/>
    <w:rsid w:val="0011536C"/>
    <w:rsid w:val="00115432"/>
    <w:rsid w:val="001155CA"/>
    <w:rsid w:val="00115716"/>
    <w:rsid w:val="0011584C"/>
    <w:rsid w:val="00115D19"/>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DDD"/>
    <w:rsid w:val="00124E10"/>
    <w:rsid w:val="00125078"/>
    <w:rsid w:val="001252FE"/>
    <w:rsid w:val="001257E6"/>
    <w:rsid w:val="0012697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54C4"/>
    <w:rsid w:val="00145DB6"/>
    <w:rsid w:val="00146129"/>
    <w:rsid w:val="0014624C"/>
    <w:rsid w:val="00146296"/>
    <w:rsid w:val="00146377"/>
    <w:rsid w:val="0014652F"/>
    <w:rsid w:val="001466F4"/>
    <w:rsid w:val="00146BC8"/>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A48"/>
    <w:rsid w:val="00153A6B"/>
    <w:rsid w:val="00153EEF"/>
    <w:rsid w:val="00153F29"/>
    <w:rsid w:val="001544AB"/>
    <w:rsid w:val="001545F6"/>
    <w:rsid w:val="00154620"/>
    <w:rsid w:val="00154A24"/>
    <w:rsid w:val="00154B50"/>
    <w:rsid w:val="00154E96"/>
    <w:rsid w:val="00155F7A"/>
    <w:rsid w:val="00155FA8"/>
    <w:rsid w:val="00156260"/>
    <w:rsid w:val="0015645A"/>
    <w:rsid w:val="00156501"/>
    <w:rsid w:val="0015674F"/>
    <w:rsid w:val="00157BDB"/>
    <w:rsid w:val="00157F63"/>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93C"/>
    <w:rsid w:val="001649D4"/>
    <w:rsid w:val="00164AE9"/>
    <w:rsid w:val="00164C22"/>
    <w:rsid w:val="00165137"/>
    <w:rsid w:val="001651F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869"/>
    <w:rsid w:val="001738A5"/>
    <w:rsid w:val="00173A00"/>
    <w:rsid w:val="00173DB6"/>
    <w:rsid w:val="00174211"/>
    <w:rsid w:val="0017440C"/>
    <w:rsid w:val="00174BE4"/>
    <w:rsid w:val="00174DDB"/>
    <w:rsid w:val="00174EAE"/>
    <w:rsid w:val="00174F1A"/>
    <w:rsid w:val="00174F2F"/>
    <w:rsid w:val="00175152"/>
    <w:rsid w:val="001752EC"/>
    <w:rsid w:val="00175B5A"/>
    <w:rsid w:val="00175B9A"/>
    <w:rsid w:val="00175F2D"/>
    <w:rsid w:val="0017637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516"/>
    <w:rsid w:val="0018086A"/>
    <w:rsid w:val="00180888"/>
    <w:rsid w:val="001809D8"/>
    <w:rsid w:val="00180E60"/>
    <w:rsid w:val="001817BA"/>
    <w:rsid w:val="00181B3A"/>
    <w:rsid w:val="001820B2"/>
    <w:rsid w:val="001820B5"/>
    <w:rsid w:val="001821E9"/>
    <w:rsid w:val="00182608"/>
    <w:rsid w:val="00182E75"/>
    <w:rsid w:val="00182E85"/>
    <w:rsid w:val="001836DF"/>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EE2"/>
    <w:rsid w:val="00187EF8"/>
    <w:rsid w:val="00190307"/>
    <w:rsid w:val="00190731"/>
    <w:rsid w:val="00190927"/>
    <w:rsid w:val="00190BD5"/>
    <w:rsid w:val="00190D5E"/>
    <w:rsid w:val="00191214"/>
    <w:rsid w:val="00191236"/>
    <w:rsid w:val="001912D1"/>
    <w:rsid w:val="00191727"/>
    <w:rsid w:val="00191830"/>
    <w:rsid w:val="00191A2B"/>
    <w:rsid w:val="00191B53"/>
    <w:rsid w:val="00191EBF"/>
    <w:rsid w:val="001925E5"/>
    <w:rsid w:val="00192D98"/>
    <w:rsid w:val="00193779"/>
    <w:rsid w:val="00193987"/>
    <w:rsid w:val="00194465"/>
    <w:rsid w:val="00194A69"/>
    <w:rsid w:val="00194FBD"/>
    <w:rsid w:val="0019573B"/>
    <w:rsid w:val="0019592C"/>
    <w:rsid w:val="00195B9A"/>
    <w:rsid w:val="00196085"/>
    <w:rsid w:val="00196A48"/>
    <w:rsid w:val="00196B90"/>
    <w:rsid w:val="00196FF4"/>
    <w:rsid w:val="001971D8"/>
    <w:rsid w:val="0019734F"/>
    <w:rsid w:val="001975D9"/>
    <w:rsid w:val="00197A1F"/>
    <w:rsid w:val="001A02E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81F"/>
    <w:rsid w:val="001A3974"/>
    <w:rsid w:val="001A3D5B"/>
    <w:rsid w:val="001A3F0F"/>
    <w:rsid w:val="001A3FA5"/>
    <w:rsid w:val="001A4179"/>
    <w:rsid w:val="001A448D"/>
    <w:rsid w:val="001A4EDF"/>
    <w:rsid w:val="001A5174"/>
    <w:rsid w:val="001A53E9"/>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6EE"/>
    <w:rsid w:val="001B2947"/>
    <w:rsid w:val="001B2993"/>
    <w:rsid w:val="001B2BAE"/>
    <w:rsid w:val="001B337E"/>
    <w:rsid w:val="001B345B"/>
    <w:rsid w:val="001B3754"/>
    <w:rsid w:val="001B3A2F"/>
    <w:rsid w:val="001B3C00"/>
    <w:rsid w:val="001B3C51"/>
    <w:rsid w:val="001B3FD9"/>
    <w:rsid w:val="001B422E"/>
    <w:rsid w:val="001B46A1"/>
    <w:rsid w:val="001B502F"/>
    <w:rsid w:val="001B5332"/>
    <w:rsid w:val="001B53B3"/>
    <w:rsid w:val="001B54E9"/>
    <w:rsid w:val="001B5947"/>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4E1"/>
    <w:rsid w:val="001C063F"/>
    <w:rsid w:val="001C078D"/>
    <w:rsid w:val="001C0883"/>
    <w:rsid w:val="001C16A9"/>
    <w:rsid w:val="001C1E53"/>
    <w:rsid w:val="001C211D"/>
    <w:rsid w:val="001C22AE"/>
    <w:rsid w:val="001C2D84"/>
    <w:rsid w:val="001C2E60"/>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7A9"/>
    <w:rsid w:val="001D2B3C"/>
    <w:rsid w:val="001D2BB2"/>
    <w:rsid w:val="001D2E6C"/>
    <w:rsid w:val="001D2ECD"/>
    <w:rsid w:val="001D2FE9"/>
    <w:rsid w:val="001D30BF"/>
    <w:rsid w:val="001D329E"/>
    <w:rsid w:val="001D34EC"/>
    <w:rsid w:val="001D3C68"/>
    <w:rsid w:val="001D4315"/>
    <w:rsid w:val="001D43C0"/>
    <w:rsid w:val="001D452A"/>
    <w:rsid w:val="001D4969"/>
    <w:rsid w:val="001D4AF0"/>
    <w:rsid w:val="001D4B23"/>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F38"/>
    <w:rsid w:val="002140D1"/>
    <w:rsid w:val="002145A2"/>
    <w:rsid w:val="00214E0D"/>
    <w:rsid w:val="0021586D"/>
    <w:rsid w:val="00215DE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EB2"/>
    <w:rsid w:val="00236F55"/>
    <w:rsid w:val="00236F71"/>
    <w:rsid w:val="0023729A"/>
    <w:rsid w:val="002373FC"/>
    <w:rsid w:val="0023768D"/>
    <w:rsid w:val="0023776F"/>
    <w:rsid w:val="00237C6F"/>
    <w:rsid w:val="00237D22"/>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47E"/>
    <w:rsid w:val="00246956"/>
    <w:rsid w:val="002469B5"/>
    <w:rsid w:val="00246C52"/>
    <w:rsid w:val="00246EB6"/>
    <w:rsid w:val="002471AB"/>
    <w:rsid w:val="0024785A"/>
    <w:rsid w:val="002478C5"/>
    <w:rsid w:val="00247B6E"/>
    <w:rsid w:val="00247C82"/>
    <w:rsid w:val="00247D8E"/>
    <w:rsid w:val="00247DD1"/>
    <w:rsid w:val="00250D9C"/>
    <w:rsid w:val="00251117"/>
    <w:rsid w:val="002512A9"/>
    <w:rsid w:val="0025161D"/>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63"/>
    <w:rsid w:val="00253A89"/>
    <w:rsid w:val="00253D64"/>
    <w:rsid w:val="0025434B"/>
    <w:rsid w:val="0025435D"/>
    <w:rsid w:val="00254616"/>
    <w:rsid w:val="00254BF6"/>
    <w:rsid w:val="00254CC7"/>
    <w:rsid w:val="0025517C"/>
    <w:rsid w:val="00255315"/>
    <w:rsid w:val="0025587F"/>
    <w:rsid w:val="00255C71"/>
    <w:rsid w:val="00256363"/>
    <w:rsid w:val="0025648C"/>
    <w:rsid w:val="00256F02"/>
    <w:rsid w:val="002571C8"/>
    <w:rsid w:val="002572F1"/>
    <w:rsid w:val="00257500"/>
    <w:rsid w:val="00257A62"/>
    <w:rsid w:val="00260156"/>
    <w:rsid w:val="0026075E"/>
    <w:rsid w:val="00260C8B"/>
    <w:rsid w:val="00260FAD"/>
    <w:rsid w:val="002612A1"/>
    <w:rsid w:val="00261625"/>
    <w:rsid w:val="0026179E"/>
    <w:rsid w:val="00261D05"/>
    <w:rsid w:val="002621FF"/>
    <w:rsid w:val="002623AC"/>
    <w:rsid w:val="00262793"/>
    <w:rsid w:val="0026279C"/>
    <w:rsid w:val="00262979"/>
    <w:rsid w:val="00262CEB"/>
    <w:rsid w:val="00262E69"/>
    <w:rsid w:val="00263038"/>
    <w:rsid w:val="00263373"/>
    <w:rsid w:val="002634D2"/>
    <w:rsid w:val="00263A0B"/>
    <w:rsid w:val="00263B02"/>
    <w:rsid w:val="00263DD9"/>
    <w:rsid w:val="00263F00"/>
    <w:rsid w:val="00263FD3"/>
    <w:rsid w:val="00264110"/>
    <w:rsid w:val="002643C7"/>
    <w:rsid w:val="0026455A"/>
    <w:rsid w:val="0026468A"/>
    <w:rsid w:val="00264C28"/>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4125"/>
    <w:rsid w:val="00274BED"/>
    <w:rsid w:val="00274CC9"/>
    <w:rsid w:val="00274D08"/>
    <w:rsid w:val="002750BC"/>
    <w:rsid w:val="00275435"/>
    <w:rsid w:val="00275464"/>
    <w:rsid w:val="0027568B"/>
    <w:rsid w:val="002756D5"/>
    <w:rsid w:val="00275CD2"/>
    <w:rsid w:val="00276001"/>
    <w:rsid w:val="00276274"/>
    <w:rsid w:val="002764FB"/>
    <w:rsid w:val="002767B4"/>
    <w:rsid w:val="00276B03"/>
    <w:rsid w:val="00276C4C"/>
    <w:rsid w:val="00276CDE"/>
    <w:rsid w:val="0027720E"/>
    <w:rsid w:val="00277D7D"/>
    <w:rsid w:val="00277E66"/>
    <w:rsid w:val="002801E2"/>
    <w:rsid w:val="0028052D"/>
    <w:rsid w:val="00280684"/>
    <w:rsid w:val="0028073A"/>
    <w:rsid w:val="00280851"/>
    <w:rsid w:val="00280960"/>
    <w:rsid w:val="002817B4"/>
    <w:rsid w:val="00281F63"/>
    <w:rsid w:val="002825CE"/>
    <w:rsid w:val="002826D0"/>
    <w:rsid w:val="002829E8"/>
    <w:rsid w:val="00282F08"/>
    <w:rsid w:val="00283181"/>
    <w:rsid w:val="002835A5"/>
    <w:rsid w:val="002836DC"/>
    <w:rsid w:val="00283B90"/>
    <w:rsid w:val="00283D6B"/>
    <w:rsid w:val="00284DBD"/>
    <w:rsid w:val="00284E7F"/>
    <w:rsid w:val="002851AA"/>
    <w:rsid w:val="0028527A"/>
    <w:rsid w:val="00285520"/>
    <w:rsid w:val="00285894"/>
    <w:rsid w:val="002859FA"/>
    <w:rsid w:val="00285E28"/>
    <w:rsid w:val="00286487"/>
    <w:rsid w:val="00286631"/>
    <w:rsid w:val="00286B14"/>
    <w:rsid w:val="00286C14"/>
    <w:rsid w:val="00286F76"/>
    <w:rsid w:val="00287376"/>
    <w:rsid w:val="002877DB"/>
    <w:rsid w:val="002877DE"/>
    <w:rsid w:val="00287C28"/>
    <w:rsid w:val="00290254"/>
    <w:rsid w:val="00290C29"/>
    <w:rsid w:val="0029178F"/>
    <w:rsid w:val="00291B01"/>
    <w:rsid w:val="002922B3"/>
    <w:rsid w:val="00292B70"/>
    <w:rsid w:val="00292BFE"/>
    <w:rsid w:val="00292CBD"/>
    <w:rsid w:val="00292DD7"/>
    <w:rsid w:val="00293504"/>
    <w:rsid w:val="00293559"/>
    <w:rsid w:val="002936B6"/>
    <w:rsid w:val="002941F4"/>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59D"/>
    <w:rsid w:val="002965C5"/>
    <w:rsid w:val="00296CE0"/>
    <w:rsid w:val="00296FD8"/>
    <w:rsid w:val="002971CA"/>
    <w:rsid w:val="0029743A"/>
    <w:rsid w:val="00297499"/>
    <w:rsid w:val="002974AA"/>
    <w:rsid w:val="002976A3"/>
    <w:rsid w:val="00297F46"/>
    <w:rsid w:val="002A0581"/>
    <w:rsid w:val="002A05EF"/>
    <w:rsid w:val="002A0724"/>
    <w:rsid w:val="002A1737"/>
    <w:rsid w:val="002A18DC"/>
    <w:rsid w:val="002A1A57"/>
    <w:rsid w:val="002A1DA1"/>
    <w:rsid w:val="002A205B"/>
    <w:rsid w:val="002A22F3"/>
    <w:rsid w:val="002A24F5"/>
    <w:rsid w:val="002A29A0"/>
    <w:rsid w:val="002A29F9"/>
    <w:rsid w:val="002A2B35"/>
    <w:rsid w:val="002A2E61"/>
    <w:rsid w:val="002A2FE5"/>
    <w:rsid w:val="002A30CB"/>
    <w:rsid w:val="002A31C7"/>
    <w:rsid w:val="002A31FF"/>
    <w:rsid w:val="002A34F1"/>
    <w:rsid w:val="002A3668"/>
    <w:rsid w:val="002A3771"/>
    <w:rsid w:val="002A3B12"/>
    <w:rsid w:val="002A3CF2"/>
    <w:rsid w:val="002A3E68"/>
    <w:rsid w:val="002A4102"/>
    <w:rsid w:val="002A4918"/>
    <w:rsid w:val="002A4E20"/>
    <w:rsid w:val="002A4EFE"/>
    <w:rsid w:val="002A510F"/>
    <w:rsid w:val="002A523D"/>
    <w:rsid w:val="002A5488"/>
    <w:rsid w:val="002A54CC"/>
    <w:rsid w:val="002A5915"/>
    <w:rsid w:val="002A5F1E"/>
    <w:rsid w:val="002A5FC1"/>
    <w:rsid w:val="002A60B6"/>
    <w:rsid w:val="002A68D9"/>
    <w:rsid w:val="002A732C"/>
    <w:rsid w:val="002A7635"/>
    <w:rsid w:val="002A7A6A"/>
    <w:rsid w:val="002A7AB4"/>
    <w:rsid w:val="002A7B72"/>
    <w:rsid w:val="002B00F3"/>
    <w:rsid w:val="002B0740"/>
    <w:rsid w:val="002B07BF"/>
    <w:rsid w:val="002B0805"/>
    <w:rsid w:val="002B0C99"/>
    <w:rsid w:val="002B0EDA"/>
    <w:rsid w:val="002B10F9"/>
    <w:rsid w:val="002B112E"/>
    <w:rsid w:val="002B138C"/>
    <w:rsid w:val="002B151A"/>
    <w:rsid w:val="002B16E5"/>
    <w:rsid w:val="002B1877"/>
    <w:rsid w:val="002B21D6"/>
    <w:rsid w:val="002B2589"/>
    <w:rsid w:val="002B2C92"/>
    <w:rsid w:val="002B2F85"/>
    <w:rsid w:val="002B3081"/>
    <w:rsid w:val="002B30E7"/>
    <w:rsid w:val="002B318B"/>
    <w:rsid w:val="002B31B6"/>
    <w:rsid w:val="002B32BC"/>
    <w:rsid w:val="002B32C1"/>
    <w:rsid w:val="002B340B"/>
    <w:rsid w:val="002B34AE"/>
    <w:rsid w:val="002B3A2F"/>
    <w:rsid w:val="002B3D90"/>
    <w:rsid w:val="002B3E6B"/>
    <w:rsid w:val="002B44E1"/>
    <w:rsid w:val="002B497A"/>
    <w:rsid w:val="002B4982"/>
    <w:rsid w:val="002B4B0F"/>
    <w:rsid w:val="002B4C39"/>
    <w:rsid w:val="002B50C7"/>
    <w:rsid w:val="002B5193"/>
    <w:rsid w:val="002B5370"/>
    <w:rsid w:val="002B5499"/>
    <w:rsid w:val="002B5514"/>
    <w:rsid w:val="002B5976"/>
    <w:rsid w:val="002B5D35"/>
    <w:rsid w:val="002B6397"/>
    <w:rsid w:val="002B6436"/>
    <w:rsid w:val="002B64FE"/>
    <w:rsid w:val="002B651D"/>
    <w:rsid w:val="002B6568"/>
    <w:rsid w:val="002B6890"/>
    <w:rsid w:val="002B694E"/>
    <w:rsid w:val="002B71EC"/>
    <w:rsid w:val="002B76FF"/>
    <w:rsid w:val="002C020D"/>
    <w:rsid w:val="002C04C2"/>
    <w:rsid w:val="002C07A6"/>
    <w:rsid w:val="002C0818"/>
    <w:rsid w:val="002C0DD0"/>
    <w:rsid w:val="002C0E0A"/>
    <w:rsid w:val="002C19C0"/>
    <w:rsid w:val="002C1A6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0B4"/>
    <w:rsid w:val="002D35C8"/>
    <w:rsid w:val="002D3968"/>
    <w:rsid w:val="002D425A"/>
    <w:rsid w:val="002D4322"/>
    <w:rsid w:val="002D48C1"/>
    <w:rsid w:val="002D4A54"/>
    <w:rsid w:val="002D4C64"/>
    <w:rsid w:val="002D4E37"/>
    <w:rsid w:val="002D4FDE"/>
    <w:rsid w:val="002D52E0"/>
    <w:rsid w:val="002D5431"/>
    <w:rsid w:val="002D5DEA"/>
    <w:rsid w:val="002D60B9"/>
    <w:rsid w:val="002D6127"/>
    <w:rsid w:val="002D620D"/>
    <w:rsid w:val="002D68C3"/>
    <w:rsid w:val="002D69CD"/>
    <w:rsid w:val="002D6C69"/>
    <w:rsid w:val="002D6E3E"/>
    <w:rsid w:val="002D745A"/>
    <w:rsid w:val="002D772F"/>
    <w:rsid w:val="002E018E"/>
    <w:rsid w:val="002E04F0"/>
    <w:rsid w:val="002E0864"/>
    <w:rsid w:val="002E0A48"/>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5B4"/>
    <w:rsid w:val="002E3624"/>
    <w:rsid w:val="002E3653"/>
    <w:rsid w:val="002E36AE"/>
    <w:rsid w:val="002E38B7"/>
    <w:rsid w:val="002E43BA"/>
    <w:rsid w:val="002E47C3"/>
    <w:rsid w:val="002E4B91"/>
    <w:rsid w:val="002E4DC0"/>
    <w:rsid w:val="002E5290"/>
    <w:rsid w:val="002E52CF"/>
    <w:rsid w:val="002E553A"/>
    <w:rsid w:val="002E58E1"/>
    <w:rsid w:val="002E5BDD"/>
    <w:rsid w:val="002E5C56"/>
    <w:rsid w:val="002E5D0D"/>
    <w:rsid w:val="002E679D"/>
    <w:rsid w:val="002E6994"/>
    <w:rsid w:val="002E7321"/>
    <w:rsid w:val="002E7894"/>
    <w:rsid w:val="002E79D3"/>
    <w:rsid w:val="002E7FA9"/>
    <w:rsid w:val="002F0045"/>
    <w:rsid w:val="002F00F0"/>
    <w:rsid w:val="002F0189"/>
    <w:rsid w:val="002F025B"/>
    <w:rsid w:val="002F03ED"/>
    <w:rsid w:val="002F0684"/>
    <w:rsid w:val="002F0ADB"/>
    <w:rsid w:val="002F0FC6"/>
    <w:rsid w:val="002F1246"/>
    <w:rsid w:val="002F1B45"/>
    <w:rsid w:val="002F2A0C"/>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B6D"/>
    <w:rsid w:val="002F7C0F"/>
    <w:rsid w:val="002F7D48"/>
    <w:rsid w:val="002F7EC5"/>
    <w:rsid w:val="0030036A"/>
    <w:rsid w:val="003003AD"/>
    <w:rsid w:val="003004CC"/>
    <w:rsid w:val="003004DC"/>
    <w:rsid w:val="0030063C"/>
    <w:rsid w:val="003011C0"/>
    <w:rsid w:val="00301348"/>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884"/>
    <w:rsid w:val="003069F7"/>
    <w:rsid w:val="00306E33"/>
    <w:rsid w:val="00307426"/>
    <w:rsid w:val="003074C7"/>
    <w:rsid w:val="00307B27"/>
    <w:rsid w:val="00307BAF"/>
    <w:rsid w:val="00307F28"/>
    <w:rsid w:val="00310148"/>
    <w:rsid w:val="003101DC"/>
    <w:rsid w:val="0031035A"/>
    <w:rsid w:val="00310CC6"/>
    <w:rsid w:val="00310F45"/>
    <w:rsid w:val="00311162"/>
    <w:rsid w:val="003111DA"/>
    <w:rsid w:val="00311642"/>
    <w:rsid w:val="00311761"/>
    <w:rsid w:val="00311941"/>
    <w:rsid w:val="00311AFC"/>
    <w:rsid w:val="003121B8"/>
    <w:rsid w:val="00312261"/>
    <w:rsid w:val="00312940"/>
    <w:rsid w:val="003137A0"/>
    <w:rsid w:val="003137ED"/>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C55"/>
    <w:rsid w:val="00317EF6"/>
    <w:rsid w:val="003200D5"/>
    <w:rsid w:val="00320B1B"/>
    <w:rsid w:val="00320DF8"/>
    <w:rsid w:val="0032172E"/>
    <w:rsid w:val="00321774"/>
    <w:rsid w:val="00321822"/>
    <w:rsid w:val="00321B02"/>
    <w:rsid w:val="00321D14"/>
    <w:rsid w:val="00321D73"/>
    <w:rsid w:val="00321D74"/>
    <w:rsid w:val="003222E4"/>
    <w:rsid w:val="00322A6A"/>
    <w:rsid w:val="00322BC3"/>
    <w:rsid w:val="00322BFD"/>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E2A"/>
    <w:rsid w:val="00336225"/>
    <w:rsid w:val="00336760"/>
    <w:rsid w:val="00336780"/>
    <w:rsid w:val="003367C5"/>
    <w:rsid w:val="00336EA4"/>
    <w:rsid w:val="003370D3"/>
    <w:rsid w:val="003371CD"/>
    <w:rsid w:val="00337C71"/>
    <w:rsid w:val="00340841"/>
    <w:rsid w:val="00340984"/>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D24"/>
    <w:rsid w:val="00343F02"/>
    <w:rsid w:val="00344490"/>
    <w:rsid w:val="00344725"/>
    <w:rsid w:val="00344898"/>
    <w:rsid w:val="00344C47"/>
    <w:rsid w:val="0034511B"/>
    <w:rsid w:val="00345641"/>
    <w:rsid w:val="00345AC1"/>
    <w:rsid w:val="00346390"/>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F6"/>
    <w:rsid w:val="0035488F"/>
    <w:rsid w:val="00354995"/>
    <w:rsid w:val="003552C6"/>
    <w:rsid w:val="003552CE"/>
    <w:rsid w:val="0035533C"/>
    <w:rsid w:val="00355563"/>
    <w:rsid w:val="00355623"/>
    <w:rsid w:val="00355A83"/>
    <w:rsid w:val="00355E36"/>
    <w:rsid w:val="003560AD"/>
    <w:rsid w:val="003560B8"/>
    <w:rsid w:val="00356167"/>
    <w:rsid w:val="003562D7"/>
    <w:rsid w:val="00356351"/>
    <w:rsid w:val="00356353"/>
    <w:rsid w:val="003563A6"/>
    <w:rsid w:val="003563E4"/>
    <w:rsid w:val="003567C9"/>
    <w:rsid w:val="00356CEC"/>
    <w:rsid w:val="00357030"/>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2AB"/>
    <w:rsid w:val="0038232C"/>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0DA"/>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438D"/>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E82"/>
    <w:rsid w:val="003A590E"/>
    <w:rsid w:val="003A6122"/>
    <w:rsid w:val="003A6330"/>
    <w:rsid w:val="003A65E0"/>
    <w:rsid w:val="003A67EA"/>
    <w:rsid w:val="003A6A09"/>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79E"/>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D37"/>
    <w:rsid w:val="003C0D8B"/>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A4"/>
    <w:rsid w:val="003D09DA"/>
    <w:rsid w:val="003D0A97"/>
    <w:rsid w:val="003D0B50"/>
    <w:rsid w:val="003D0CCB"/>
    <w:rsid w:val="003D0D75"/>
    <w:rsid w:val="003D0E68"/>
    <w:rsid w:val="003D11F1"/>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00"/>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F7"/>
    <w:rsid w:val="003F536B"/>
    <w:rsid w:val="003F5834"/>
    <w:rsid w:val="003F586D"/>
    <w:rsid w:val="003F59D4"/>
    <w:rsid w:val="003F60EF"/>
    <w:rsid w:val="003F62B4"/>
    <w:rsid w:val="003F6853"/>
    <w:rsid w:val="003F6930"/>
    <w:rsid w:val="003F6ACE"/>
    <w:rsid w:val="003F6C7B"/>
    <w:rsid w:val="003F6E02"/>
    <w:rsid w:val="003F6F1A"/>
    <w:rsid w:val="003F7355"/>
    <w:rsid w:val="003F73A0"/>
    <w:rsid w:val="003F75DD"/>
    <w:rsid w:val="003F79AC"/>
    <w:rsid w:val="003F7DFF"/>
    <w:rsid w:val="00400032"/>
    <w:rsid w:val="0040015E"/>
    <w:rsid w:val="0040024B"/>
    <w:rsid w:val="00400427"/>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A66"/>
    <w:rsid w:val="00407C9E"/>
    <w:rsid w:val="00410197"/>
    <w:rsid w:val="0041029D"/>
    <w:rsid w:val="00410CC4"/>
    <w:rsid w:val="00411230"/>
    <w:rsid w:val="004116D7"/>
    <w:rsid w:val="004118C9"/>
    <w:rsid w:val="0041195D"/>
    <w:rsid w:val="00411B58"/>
    <w:rsid w:val="00411CE1"/>
    <w:rsid w:val="00411D82"/>
    <w:rsid w:val="00412697"/>
    <w:rsid w:val="004129E0"/>
    <w:rsid w:val="00412DBE"/>
    <w:rsid w:val="00412F8D"/>
    <w:rsid w:val="00413369"/>
    <w:rsid w:val="00413501"/>
    <w:rsid w:val="00413F24"/>
    <w:rsid w:val="00414129"/>
    <w:rsid w:val="004145AE"/>
    <w:rsid w:val="004149A5"/>
    <w:rsid w:val="00414A69"/>
    <w:rsid w:val="0041577E"/>
    <w:rsid w:val="004157F6"/>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8B8"/>
    <w:rsid w:val="00422A01"/>
    <w:rsid w:val="00422DB5"/>
    <w:rsid w:val="0042307B"/>
    <w:rsid w:val="00423326"/>
    <w:rsid w:val="00423921"/>
    <w:rsid w:val="00423A73"/>
    <w:rsid w:val="0042425E"/>
    <w:rsid w:val="00424510"/>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270B"/>
    <w:rsid w:val="00432780"/>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5178"/>
    <w:rsid w:val="00435248"/>
    <w:rsid w:val="004353C1"/>
    <w:rsid w:val="0043542F"/>
    <w:rsid w:val="004354B5"/>
    <w:rsid w:val="004355EB"/>
    <w:rsid w:val="00435602"/>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CE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871"/>
    <w:rsid w:val="00453B25"/>
    <w:rsid w:val="00453B31"/>
    <w:rsid w:val="00453D65"/>
    <w:rsid w:val="00453DEF"/>
    <w:rsid w:val="004543E4"/>
    <w:rsid w:val="004548E5"/>
    <w:rsid w:val="00454F08"/>
    <w:rsid w:val="0045502E"/>
    <w:rsid w:val="00455105"/>
    <w:rsid w:val="004553ED"/>
    <w:rsid w:val="0045564C"/>
    <w:rsid w:val="00455C09"/>
    <w:rsid w:val="00456114"/>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B1F"/>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ACB"/>
    <w:rsid w:val="004730B8"/>
    <w:rsid w:val="00473BF7"/>
    <w:rsid w:val="00473F5F"/>
    <w:rsid w:val="004740C1"/>
    <w:rsid w:val="0047410D"/>
    <w:rsid w:val="00474144"/>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0F1"/>
    <w:rsid w:val="004873B1"/>
    <w:rsid w:val="00487442"/>
    <w:rsid w:val="004877EB"/>
    <w:rsid w:val="00487BB8"/>
    <w:rsid w:val="00487F28"/>
    <w:rsid w:val="00490649"/>
    <w:rsid w:val="0049093B"/>
    <w:rsid w:val="00490DB0"/>
    <w:rsid w:val="00490E6F"/>
    <w:rsid w:val="00490E94"/>
    <w:rsid w:val="00490EE3"/>
    <w:rsid w:val="00490F10"/>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E1"/>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704"/>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2CA"/>
    <w:rsid w:val="004B32E2"/>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BA5"/>
    <w:rsid w:val="004B7D9F"/>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C51"/>
    <w:rsid w:val="004C4384"/>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C3D"/>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B73"/>
    <w:rsid w:val="004E2C41"/>
    <w:rsid w:val="004E2DF8"/>
    <w:rsid w:val="004E2E33"/>
    <w:rsid w:val="004E2F51"/>
    <w:rsid w:val="004E2F60"/>
    <w:rsid w:val="004E3116"/>
    <w:rsid w:val="004E319A"/>
    <w:rsid w:val="004E32FE"/>
    <w:rsid w:val="004E344E"/>
    <w:rsid w:val="004E3579"/>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FEB"/>
    <w:rsid w:val="004F2826"/>
    <w:rsid w:val="004F2AA6"/>
    <w:rsid w:val="004F2B9C"/>
    <w:rsid w:val="004F2CCE"/>
    <w:rsid w:val="004F2D1C"/>
    <w:rsid w:val="004F2D47"/>
    <w:rsid w:val="004F33A9"/>
    <w:rsid w:val="004F359A"/>
    <w:rsid w:val="004F3CEA"/>
    <w:rsid w:val="004F3DD1"/>
    <w:rsid w:val="004F4000"/>
    <w:rsid w:val="004F40F1"/>
    <w:rsid w:val="004F46B0"/>
    <w:rsid w:val="004F46D8"/>
    <w:rsid w:val="004F4760"/>
    <w:rsid w:val="004F4A70"/>
    <w:rsid w:val="004F4DAC"/>
    <w:rsid w:val="004F4E25"/>
    <w:rsid w:val="004F4E53"/>
    <w:rsid w:val="004F4EBA"/>
    <w:rsid w:val="004F4F76"/>
    <w:rsid w:val="004F58AB"/>
    <w:rsid w:val="004F66FA"/>
    <w:rsid w:val="004F67A9"/>
    <w:rsid w:val="004F6AFE"/>
    <w:rsid w:val="004F6BC6"/>
    <w:rsid w:val="004F6E4E"/>
    <w:rsid w:val="004F6F20"/>
    <w:rsid w:val="004F7373"/>
    <w:rsid w:val="004F73A5"/>
    <w:rsid w:val="004F76A6"/>
    <w:rsid w:val="004F76B3"/>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756"/>
    <w:rsid w:val="00512BD1"/>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50E4"/>
    <w:rsid w:val="005153A5"/>
    <w:rsid w:val="00515907"/>
    <w:rsid w:val="00515E2B"/>
    <w:rsid w:val="00515FE3"/>
    <w:rsid w:val="005162C5"/>
    <w:rsid w:val="00516B96"/>
    <w:rsid w:val="00516D2A"/>
    <w:rsid w:val="00516F2C"/>
    <w:rsid w:val="00517186"/>
    <w:rsid w:val="005173A4"/>
    <w:rsid w:val="0051748A"/>
    <w:rsid w:val="0051770E"/>
    <w:rsid w:val="0051785F"/>
    <w:rsid w:val="0052001B"/>
    <w:rsid w:val="005205C8"/>
    <w:rsid w:val="005205D5"/>
    <w:rsid w:val="00521D65"/>
    <w:rsid w:val="00521E3F"/>
    <w:rsid w:val="00521F69"/>
    <w:rsid w:val="005221A4"/>
    <w:rsid w:val="005222CE"/>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068"/>
    <w:rsid w:val="00546310"/>
    <w:rsid w:val="00546738"/>
    <w:rsid w:val="005467D6"/>
    <w:rsid w:val="00546922"/>
    <w:rsid w:val="00546942"/>
    <w:rsid w:val="00546A81"/>
    <w:rsid w:val="00547123"/>
    <w:rsid w:val="00547F32"/>
    <w:rsid w:val="00550047"/>
    <w:rsid w:val="0055039B"/>
    <w:rsid w:val="005504D9"/>
    <w:rsid w:val="00550C5D"/>
    <w:rsid w:val="00550C80"/>
    <w:rsid w:val="00550D45"/>
    <w:rsid w:val="00550D6F"/>
    <w:rsid w:val="00550E94"/>
    <w:rsid w:val="005511B1"/>
    <w:rsid w:val="005511F3"/>
    <w:rsid w:val="0055128D"/>
    <w:rsid w:val="0055149C"/>
    <w:rsid w:val="00551655"/>
    <w:rsid w:val="00551E1E"/>
    <w:rsid w:val="00551E52"/>
    <w:rsid w:val="00551E84"/>
    <w:rsid w:val="00552038"/>
    <w:rsid w:val="0055233E"/>
    <w:rsid w:val="005523E0"/>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5028"/>
    <w:rsid w:val="005650BF"/>
    <w:rsid w:val="00565679"/>
    <w:rsid w:val="00565807"/>
    <w:rsid w:val="00565C6A"/>
    <w:rsid w:val="0056620B"/>
    <w:rsid w:val="00566219"/>
    <w:rsid w:val="0056636D"/>
    <w:rsid w:val="00566A42"/>
    <w:rsid w:val="0056719E"/>
    <w:rsid w:val="005700FD"/>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368"/>
    <w:rsid w:val="0057737A"/>
    <w:rsid w:val="005777AC"/>
    <w:rsid w:val="005778C3"/>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DD6"/>
    <w:rsid w:val="00586E14"/>
    <w:rsid w:val="00587117"/>
    <w:rsid w:val="0058759B"/>
    <w:rsid w:val="00587649"/>
    <w:rsid w:val="0058764D"/>
    <w:rsid w:val="00590203"/>
    <w:rsid w:val="00590A9B"/>
    <w:rsid w:val="00590BF6"/>
    <w:rsid w:val="00590D0A"/>
    <w:rsid w:val="00591777"/>
    <w:rsid w:val="00591904"/>
    <w:rsid w:val="00591B9C"/>
    <w:rsid w:val="00591E92"/>
    <w:rsid w:val="00592160"/>
    <w:rsid w:val="005923C9"/>
    <w:rsid w:val="0059241A"/>
    <w:rsid w:val="0059284F"/>
    <w:rsid w:val="00592A3D"/>
    <w:rsid w:val="00593396"/>
    <w:rsid w:val="00593F19"/>
    <w:rsid w:val="00594131"/>
    <w:rsid w:val="005943C6"/>
    <w:rsid w:val="0059441D"/>
    <w:rsid w:val="005944C5"/>
    <w:rsid w:val="005954F2"/>
    <w:rsid w:val="00595534"/>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E4F"/>
    <w:rsid w:val="005A1F92"/>
    <w:rsid w:val="005A2174"/>
    <w:rsid w:val="005A2229"/>
    <w:rsid w:val="005A2BB3"/>
    <w:rsid w:val="005A320D"/>
    <w:rsid w:val="005A32B1"/>
    <w:rsid w:val="005A36E3"/>
    <w:rsid w:val="005A3856"/>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D1D"/>
    <w:rsid w:val="005B648E"/>
    <w:rsid w:val="005B66DE"/>
    <w:rsid w:val="005B6B96"/>
    <w:rsid w:val="005B6FAE"/>
    <w:rsid w:val="005B703E"/>
    <w:rsid w:val="005B7069"/>
    <w:rsid w:val="005B70E8"/>
    <w:rsid w:val="005B7824"/>
    <w:rsid w:val="005B7D3F"/>
    <w:rsid w:val="005C0625"/>
    <w:rsid w:val="005C0904"/>
    <w:rsid w:val="005C09BF"/>
    <w:rsid w:val="005C0AA7"/>
    <w:rsid w:val="005C0C82"/>
    <w:rsid w:val="005C0D61"/>
    <w:rsid w:val="005C0DDE"/>
    <w:rsid w:val="005C11DA"/>
    <w:rsid w:val="005C1225"/>
    <w:rsid w:val="005C1325"/>
    <w:rsid w:val="005C132F"/>
    <w:rsid w:val="005C1752"/>
    <w:rsid w:val="005C1894"/>
    <w:rsid w:val="005C1CE4"/>
    <w:rsid w:val="005C2144"/>
    <w:rsid w:val="005C3016"/>
    <w:rsid w:val="005C376D"/>
    <w:rsid w:val="005C3A65"/>
    <w:rsid w:val="005C3CDF"/>
    <w:rsid w:val="005C4B4D"/>
    <w:rsid w:val="005C4DE3"/>
    <w:rsid w:val="005C5379"/>
    <w:rsid w:val="005C56B4"/>
    <w:rsid w:val="005C5849"/>
    <w:rsid w:val="005C63F0"/>
    <w:rsid w:val="005C6513"/>
    <w:rsid w:val="005C65E5"/>
    <w:rsid w:val="005C698C"/>
    <w:rsid w:val="005C7340"/>
    <w:rsid w:val="005C7A54"/>
    <w:rsid w:val="005C7CAD"/>
    <w:rsid w:val="005C7D19"/>
    <w:rsid w:val="005C7EF8"/>
    <w:rsid w:val="005D0102"/>
    <w:rsid w:val="005D02FA"/>
    <w:rsid w:val="005D047B"/>
    <w:rsid w:val="005D0790"/>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C75"/>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18"/>
    <w:rsid w:val="005E1A58"/>
    <w:rsid w:val="005E1C06"/>
    <w:rsid w:val="005E1D4D"/>
    <w:rsid w:val="005E1F6C"/>
    <w:rsid w:val="005E2E2C"/>
    <w:rsid w:val="005E2FA0"/>
    <w:rsid w:val="005E308C"/>
    <w:rsid w:val="005E35FD"/>
    <w:rsid w:val="005E383F"/>
    <w:rsid w:val="005E4377"/>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8D8"/>
    <w:rsid w:val="00614064"/>
    <w:rsid w:val="006141D8"/>
    <w:rsid w:val="00614263"/>
    <w:rsid w:val="00614CB4"/>
    <w:rsid w:val="00614D1E"/>
    <w:rsid w:val="0061524B"/>
    <w:rsid w:val="0061565F"/>
    <w:rsid w:val="00615686"/>
    <w:rsid w:val="006157CF"/>
    <w:rsid w:val="00615BDB"/>
    <w:rsid w:val="006162DC"/>
    <w:rsid w:val="00616449"/>
    <w:rsid w:val="006167D0"/>
    <w:rsid w:val="00616885"/>
    <w:rsid w:val="006168CE"/>
    <w:rsid w:val="00616EEA"/>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FB3"/>
    <w:rsid w:val="006250F7"/>
    <w:rsid w:val="006253DA"/>
    <w:rsid w:val="006258B1"/>
    <w:rsid w:val="00625B24"/>
    <w:rsid w:val="0062657C"/>
    <w:rsid w:val="00626C25"/>
    <w:rsid w:val="00626C70"/>
    <w:rsid w:val="00626DB5"/>
    <w:rsid w:val="00626E64"/>
    <w:rsid w:val="00626EFA"/>
    <w:rsid w:val="00627654"/>
    <w:rsid w:val="00627BA3"/>
    <w:rsid w:val="00627C39"/>
    <w:rsid w:val="00627E44"/>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D62"/>
    <w:rsid w:val="00633FF7"/>
    <w:rsid w:val="0063405E"/>
    <w:rsid w:val="00634077"/>
    <w:rsid w:val="006341AD"/>
    <w:rsid w:val="00634232"/>
    <w:rsid w:val="006347F5"/>
    <w:rsid w:val="006356B8"/>
    <w:rsid w:val="00635EDC"/>
    <w:rsid w:val="00635F56"/>
    <w:rsid w:val="00636094"/>
    <w:rsid w:val="0063681F"/>
    <w:rsid w:val="00636A76"/>
    <w:rsid w:val="006372C0"/>
    <w:rsid w:val="006373C7"/>
    <w:rsid w:val="006374F0"/>
    <w:rsid w:val="006376E2"/>
    <w:rsid w:val="00637C24"/>
    <w:rsid w:val="00637DC7"/>
    <w:rsid w:val="00637E00"/>
    <w:rsid w:val="006401C6"/>
    <w:rsid w:val="00640207"/>
    <w:rsid w:val="00640222"/>
    <w:rsid w:val="00640529"/>
    <w:rsid w:val="006409F3"/>
    <w:rsid w:val="00641061"/>
    <w:rsid w:val="006419E1"/>
    <w:rsid w:val="006419ED"/>
    <w:rsid w:val="0064239B"/>
    <w:rsid w:val="00642D10"/>
    <w:rsid w:val="00642F4E"/>
    <w:rsid w:val="00642FFD"/>
    <w:rsid w:val="006436C0"/>
    <w:rsid w:val="00643769"/>
    <w:rsid w:val="006437A9"/>
    <w:rsid w:val="00643973"/>
    <w:rsid w:val="00644200"/>
    <w:rsid w:val="0064428B"/>
    <w:rsid w:val="00644511"/>
    <w:rsid w:val="0064486C"/>
    <w:rsid w:val="00644E60"/>
    <w:rsid w:val="0064552C"/>
    <w:rsid w:val="006457B7"/>
    <w:rsid w:val="00645C7B"/>
    <w:rsid w:val="00646556"/>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D38"/>
    <w:rsid w:val="00662DBC"/>
    <w:rsid w:val="00662FA2"/>
    <w:rsid w:val="006631ED"/>
    <w:rsid w:val="00663572"/>
    <w:rsid w:val="006635DC"/>
    <w:rsid w:val="00663908"/>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72FC"/>
    <w:rsid w:val="00667A27"/>
    <w:rsid w:val="0067016D"/>
    <w:rsid w:val="006704BF"/>
    <w:rsid w:val="00670AAB"/>
    <w:rsid w:val="00670AD6"/>
    <w:rsid w:val="00670CC3"/>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BF"/>
    <w:rsid w:val="00674460"/>
    <w:rsid w:val="006746FF"/>
    <w:rsid w:val="00675012"/>
    <w:rsid w:val="0067517B"/>
    <w:rsid w:val="006755C0"/>
    <w:rsid w:val="00675652"/>
    <w:rsid w:val="006757DC"/>
    <w:rsid w:val="006763E2"/>
    <w:rsid w:val="00676471"/>
    <w:rsid w:val="006767B8"/>
    <w:rsid w:val="00676853"/>
    <w:rsid w:val="00676CF3"/>
    <w:rsid w:val="00677012"/>
    <w:rsid w:val="006773BF"/>
    <w:rsid w:val="00677725"/>
    <w:rsid w:val="0067778F"/>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3DF"/>
    <w:rsid w:val="00690447"/>
    <w:rsid w:val="00690769"/>
    <w:rsid w:val="00690D12"/>
    <w:rsid w:val="00690F0E"/>
    <w:rsid w:val="00691278"/>
    <w:rsid w:val="00691357"/>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9DC"/>
    <w:rsid w:val="00697C2C"/>
    <w:rsid w:val="006A01FA"/>
    <w:rsid w:val="006A05EF"/>
    <w:rsid w:val="006A0872"/>
    <w:rsid w:val="006A0942"/>
    <w:rsid w:val="006A140F"/>
    <w:rsid w:val="006A18CF"/>
    <w:rsid w:val="006A18DD"/>
    <w:rsid w:val="006A1B7F"/>
    <w:rsid w:val="006A1ECB"/>
    <w:rsid w:val="006A2245"/>
    <w:rsid w:val="006A2347"/>
    <w:rsid w:val="006A24B3"/>
    <w:rsid w:val="006A2A71"/>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B69"/>
    <w:rsid w:val="006A6CBB"/>
    <w:rsid w:val="006A70A0"/>
    <w:rsid w:val="006A7574"/>
    <w:rsid w:val="006A7604"/>
    <w:rsid w:val="006A7BF2"/>
    <w:rsid w:val="006A7C40"/>
    <w:rsid w:val="006A7FDD"/>
    <w:rsid w:val="006B0489"/>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604"/>
    <w:rsid w:val="006B393F"/>
    <w:rsid w:val="006B3E55"/>
    <w:rsid w:val="006B4095"/>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DA1"/>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B09"/>
    <w:rsid w:val="006E0B16"/>
    <w:rsid w:val="006E0E60"/>
    <w:rsid w:val="006E0ED0"/>
    <w:rsid w:val="006E0F36"/>
    <w:rsid w:val="006E13EF"/>
    <w:rsid w:val="006E176F"/>
    <w:rsid w:val="006E1EE9"/>
    <w:rsid w:val="006E22CC"/>
    <w:rsid w:val="006E260B"/>
    <w:rsid w:val="006E28BF"/>
    <w:rsid w:val="006E2AA6"/>
    <w:rsid w:val="006E327B"/>
    <w:rsid w:val="006E335A"/>
    <w:rsid w:val="006E3D3A"/>
    <w:rsid w:val="006E4469"/>
    <w:rsid w:val="006E459B"/>
    <w:rsid w:val="006E4EC2"/>
    <w:rsid w:val="006E512D"/>
    <w:rsid w:val="006E5151"/>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684"/>
    <w:rsid w:val="006F090B"/>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B88"/>
    <w:rsid w:val="006F4C7E"/>
    <w:rsid w:val="006F4D51"/>
    <w:rsid w:val="006F4D57"/>
    <w:rsid w:val="006F50E3"/>
    <w:rsid w:val="006F557B"/>
    <w:rsid w:val="006F5B41"/>
    <w:rsid w:val="006F5CAB"/>
    <w:rsid w:val="006F6689"/>
    <w:rsid w:val="006F6740"/>
    <w:rsid w:val="006F6EAB"/>
    <w:rsid w:val="006F746D"/>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BFC"/>
    <w:rsid w:val="00702DFC"/>
    <w:rsid w:val="00703025"/>
    <w:rsid w:val="0070311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1E92"/>
    <w:rsid w:val="007121E7"/>
    <w:rsid w:val="0071279C"/>
    <w:rsid w:val="00712A0F"/>
    <w:rsid w:val="00712FDB"/>
    <w:rsid w:val="007132F3"/>
    <w:rsid w:val="0071374D"/>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C3F"/>
    <w:rsid w:val="00716F80"/>
    <w:rsid w:val="00716FB1"/>
    <w:rsid w:val="00716FC0"/>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302"/>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36F"/>
    <w:rsid w:val="00743757"/>
    <w:rsid w:val="00743867"/>
    <w:rsid w:val="00744055"/>
    <w:rsid w:val="00744FB1"/>
    <w:rsid w:val="007452FC"/>
    <w:rsid w:val="0074576E"/>
    <w:rsid w:val="00745A78"/>
    <w:rsid w:val="00745EBB"/>
    <w:rsid w:val="00746131"/>
    <w:rsid w:val="00746167"/>
    <w:rsid w:val="00746199"/>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14D6"/>
    <w:rsid w:val="007515C8"/>
    <w:rsid w:val="0075177C"/>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2F96"/>
    <w:rsid w:val="00763055"/>
    <w:rsid w:val="0076324D"/>
    <w:rsid w:val="00763272"/>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088"/>
    <w:rsid w:val="007710C8"/>
    <w:rsid w:val="00771284"/>
    <w:rsid w:val="007718CC"/>
    <w:rsid w:val="007719B6"/>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3B2"/>
    <w:rsid w:val="007846D9"/>
    <w:rsid w:val="00784702"/>
    <w:rsid w:val="007848B8"/>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F5"/>
    <w:rsid w:val="007A460F"/>
    <w:rsid w:val="007A4644"/>
    <w:rsid w:val="007A48EA"/>
    <w:rsid w:val="007A4A07"/>
    <w:rsid w:val="007A4AF1"/>
    <w:rsid w:val="007A4B1D"/>
    <w:rsid w:val="007A4D6B"/>
    <w:rsid w:val="007A5288"/>
    <w:rsid w:val="007A5D0F"/>
    <w:rsid w:val="007A5F69"/>
    <w:rsid w:val="007A618D"/>
    <w:rsid w:val="007A6333"/>
    <w:rsid w:val="007A6477"/>
    <w:rsid w:val="007A6622"/>
    <w:rsid w:val="007A6909"/>
    <w:rsid w:val="007A6AF1"/>
    <w:rsid w:val="007A6DE7"/>
    <w:rsid w:val="007A75A3"/>
    <w:rsid w:val="007A7A14"/>
    <w:rsid w:val="007A7FF2"/>
    <w:rsid w:val="007B0253"/>
    <w:rsid w:val="007B040B"/>
    <w:rsid w:val="007B073B"/>
    <w:rsid w:val="007B0865"/>
    <w:rsid w:val="007B08EA"/>
    <w:rsid w:val="007B09ED"/>
    <w:rsid w:val="007B0B92"/>
    <w:rsid w:val="007B1061"/>
    <w:rsid w:val="007B14A8"/>
    <w:rsid w:val="007B1C2D"/>
    <w:rsid w:val="007B1F9A"/>
    <w:rsid w:val="007B21A9"/>
    <w:rsid w:val="007B2638"/>
    <w:rsid w:val="007B26A6"/>
    <w:rsid w:val="007B29A4"/>
    <w:rsid w:val="007B314C"/>
    <w:rsid w:val="007B322B"/>
    <w:rsid w:val="007B3476"/>
    <w:rsid w:val="007B3BF0"/>
    <w:rsid w:val="007B3D12"/>
    <w:rsid w:val="007B3D55"/>
    <w:rsid w:val="007B40AD"/>
    <w:rsid w:val="007B448A"/>
    <w:rsid w:val="007B44DC"/>
    <w:rsid w:val="007B4533"/>
    <w:rsid w:val="007B4543"/>
    <w:rsid w:val="007B484D"/>
    <w:rsid w:val="007B4937"/>
    <w:rsid w:val="007B52F6"/>
    <w:rsid w:val="007B5A66"/>
    <w:rsid w:val="007B5E5F"/>
    <w:rsid w:val="007B60AA"/>
    <w:rsid w:val="007B614B"/>
    <w:rsid w:val="007B630D"/>
    <w:rsid w:val="007B697F"/>
    <w:rsid w:val="007B7618"/>
    <w:rsid w:val="007B766F"/>
    <w:rsid w:val="007C0880"/>
    <w:rsid w:val="007C0BD2"/>
    <w:rsid w:val="007C0C9B"/>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94"/>
    <w:rsid w:val="007E001D"/>
    <w:rsid w:val="007E015E"/>
    <w:rsid w:val="007E0162"/>
    <w:rsid w:val="007E02CC"/>
    <w:rsid w:val="007E07FD"/>
    <w:rsid w:val="007E0981"/>
    <w:rsid w:val="007E0986"/>
    <w:rsid w:val="007E0C8C"/>
    <w:rsid w:val="007E1158"/>
    <w:rsid w:val="007E1479"/>
    <w:rsid w:val="007E152B"/>
    <w:rsid w:val="007E191F"/>
    <w:rsid w:val="007E1A55"/>
    <w:rsid w:val="007E1CB1"/>
    <w:rsid w:val="007E201B"/>
    <w:rsid w:val="007E2146"/>
    <w:rsid w:val="007E2B64"/>
    <w:rsid w:val="007E3346"/>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C0"/>
    <w:rsid w:val="007F18F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BB0"/>
    <w:rsid w:val="007F6C1B"/>
    <w:rsid w:val="007F70D6"/>
    <w:rsid w:val="007F7864"/>
    <w:rsid w:val="007F78F8"/>
    <w:rsid w:val="007F795B"/>
    <w:rsid w:val="007F7AF9"/>
    <w:rsid w:val="007F7B6D"/>
    <w:rsid w:val="007F7C2F"/>
    <w:rsid w:val="00800104"/>
    <w:rsid w:val="00800184"/>
    <w:rsid w:val="008004B6"/>
    <w:rsid w:val="00800705"/>
    <w:rsid w:val="00800994"/>
    <w:rsid w:val="00800D5F"/>
    <w:rsid w:val="0080121F"/>
    <w:rsid w:val="008013B8"/>
    <w:rsid w:val="00801703"/>
    <w:rsid w:val="00801788"/>
    <w:rsid w:val="0080179D"/>
    <w:rsid w:val="00801813"/>
    <w:rsid w:val="00801838"/>
    <w:rsid w:val="00801E41"/>
    <w:rsid w:val="00801FBC"/>
    <w:rsid w:val="00802410"/>
    <w:rsid w:val="00802841"/>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7B2"/>
    <w:rsid w:val="00823A5F"/>
    <w:rsid w:val="00823D4A"/>
    <w:rsid w:val="00823F61"/>
    <w:rsid w:val="00824460"/>
    <w:rsid w:val="0082449E"/>
    <w:rsid w:val="0082483B"/>
    <w:rsid w:val="008249FF"/>
    <w:rsid w:val="008251EC"/>
    <w:rsid w:val="008252F8"/>
    <w:rsid w:val="00825DD4"/>
    <w:rsid w:val="00826204"/>
    <w:rsid w:val="0082636C"/>
    <w:rsid w:val="00826D90"/>
    <w:rsid w:val="00826E8B"/>
    <w:rsid w:val="00827015"/>
    <w:rsid w:val="00827109"/>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5F9"/>
    <w:rsid w:val="00833947"/>
    <w:rsid w:val="00833D45"/>
    <w:rsid w:val="00833EF5"/>
    <w:rsid w:val="00834034"/>
    <w:rsid w:val="0083417A"/>
    <w:rsid w:val="00834512"/>
    <w:rsid w:val="00834746"/>
    <w:rsid w:val="008349E7"/>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40145"/>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5170"/>
    <w:rsid w:val="00845F51"/>
    <w:rsid w:val="00845F5B"/>
    <w:rsid w:val="00845F6D"/>
    <w:rsid w:val="00846106"/>
    <w:rsid w:val="008462E7"/>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6301"/>
    <w:rsid w:val="00856562"/>
    <w:rsid w:val="008566E7"/>
    <w:rsid w:val="008569DF"/>
    <w:rsid w:val="00856ACF"/>
    <w:rsid w:val="00856E4A"/>
    <w:rsid w:val="00856FF3"/>
    <w:rsid w:val="0085722A"/>
    <w:rsid w:val="008577BE"/>
    <w:rsid w:val="008577F6"/>
    <w:rsid w:val="00857925"/>
    <w:rsid w:val="00857974"/>
    <w:rsid w:val="00857C34"/>
    <w:rsid w:val="00860197"/>
    <w:rsid w:val="00860315"/>
    <w:rsid w:val="0086037F"/>
    <w:rsid w:val="008604CD"/>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04"/>
    <w:rsid w:val="00865EC2"/>
    <w:rsid w:val="00866453"/>
    <w:rsid w:val="008666CE"/>
    <w:rsid w:val="00866781"/>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C56"/>
    <w:rsid w:val="00886D72"/>
    <w:rsid w:val="00886F13"/>
    <w:rsid w:val="00886FBB"/>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E8"/>
    <w:rsid w:val="008A1EA1"/>
    <w:rsid w:val="008A24BD"/>
    <w:rsid w:val="008A2AA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60E9"/>
    <w:rsid w:val="008B60ED"/>
    <w:rsid w:val="008B68DD"/>
    <w:rsid w:val="008B6904"/>
    <w:rsid w:val="008B6E5C"/>
    <w:rsid w:val="008B7394"/>
    <w:rsid w:val="008B766A"/>
    <w:rsid w:val="008B7A0E"/>
    <w:rsid w:val="008B7B59"/>
    <w:rsid w:val="008B7F9E"/>
    <w:rsid w:val="008C0FB9"/>
    <w:rsid w:val="008C2426"/>
    <w:rsid w:val="008C2453"/>
    <w:rsid w:val="008C26B4"/>
    <w:rsid w:val="008C28BA"/>
    <w:rsid w:val="008C2F95"/>
    <w:rsid w:val="008C3240"/>
    <w:rsid w:val="008C3519"/>
    <w:rsid w:val="008C39F9"/>
    <w:rsid w:val="008C4188"/>
    <w:rsid w:val="008C4514"/>
    <w:rsid w:val="008C4B47"/>
    <w:rsid w:val="008C4F39"/>
    <w:rsid w:val="008C4FE4"/>
    <w:rsid w:val="008C502D"/>
    <w:rsid w:val="008C550E"/>
    <w:rsid w:val="008C57D1"/>
    <w:rsid w:val="008C59D5"/>
    <w:rsid w:val="008C5B10"/>
    <w:rsid w:val="008C6C7A"/>
    <w:rsid w:val="008C6F4F"/>
    <w:rsid w:val="008C70B1"/>
    <w:rsid w:val="008C74CC"/>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78"/>
    <w:rsid w:val="008E3F52"/>
    <w:rsid w:val="008E412D"/>
    <w:rsid w:val="008E427C"/>
    <w:rsid w:val="008E4280"/>
    <w:rsid w:val="008E451A"/>
    <w:rsid w:val="008E45D7"/>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AA4"/>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07180"/>
    <w:rsid w:val="00907CF3"/>
    <w:rsid w:val="00910178"/>
    <w:rsid w:val="009105EF"/>
    <w:rsid w:val="009108A7"/>
    <w:rsid w:val="00910A24"/>
    <w:rsid w:val="00910ED6"/>
    <w:rsid w:val="00911E1A"/>
    <w:rsid w:val="009123B9"/>
    <w:rsid w:val="009129AA"/>
    <w:rsid w:val="00913181"/>
    <w:rsid w:val="009131D7"/>
    <w:rsid w:val="0091342A"/>
    <w:rsid w:val="009136E4"/>
    <w:rsid w:val="009138EB"/>
    <w:rsid w:val="00913AEE"/>
    <w:rsid w:val="00913D2B"/>
    <w:rsid w:val="00913F4C"/>
    <w:rsid w:val="0091404B"/>
    <w:rsid w:val="0091423A"/>
    <w:rsid w:val="009143C5"/>
    <w:rsid w:val="00914A5D"/>
    <w:rsid w:val="00914B0F"/>
    <w:rsid w:val="00914B9E"/>
    <w:rsid w:val="00914F86"/>
    <w:rsid w:val="00915032"/>
    <w:rsid w:val="0091537E"/>
    <w:rsid w:val="009154BD"/>
    <w:rsid w:val="0091590D"/>
    <w:rsid w:val="00915927"/>
    <w:rsid w:val="00915DB6"/>
    <w:rsid w:val="0091610F"/>
    <w:rsid w:val="009161BA"/>
    <w:rsid w:val="009162F5"/>
    <w:rsid w:val="00916827"/>
    <w:rsid w:val="009170CE"/>
    <w:rsid w:val="009171B7"/>
    <w:rsid w:val="009175B2"/>
    <w:rsid w:val="009200D2"/>
    <w:rsid w:val="00920275"/>
    <w:rsid w:val="00920EE2"/>
    <w:rsid w:val="00920FE4"/>
    <w:rsid w:val="00921140"/>
    <w:rsid w:val="009212BC"/>
    <w:rsid w:val="009216BF"/>
    <w:rsid w:val="009218D2"/>
    <w:rsid w:val="00921A1B"/>
    <w:rsid w:val="00921A74"/>
    <w:rsid w:val="00921C5E"/>
    <w:rsid w:val="00921C9F"/>
    <w:rsid w:val="00921ED5"/>
    <w:rsid w:val="00921FA1"/>
    <w:rsid w:val="009223E5"/>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2F"/>
    <w:rsid w:val="00930305"/>
    <w:rsid w:val="0093063D"/>
    <w:rsid w:val="0093135E"/>
    <w:rsid w:val="0093195D"/>
    <w:rsid w:val="00931D87"/>
    <w:rsid w:val="00932109"/>
    <w:rsid w:val="009322AC"/>
    <w:rsid w:val="00932414"/>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0A7"/>
    <w:rsid w:val="0093550C"/>
    <w:rsid w:val="009355F0"/>
    <w:rsid w:val="00935B52"/>
    <w:rsid w:val="00935E52"/>
    <w:rsid w:val="00936951"/>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611"/>
    <w:rsid w:val="00943618"/>
    <w:rsid w:val="00943988"/>
    <w:rsid w:val="00943D09"/>
    <w:rsid w:val="00943E2E"/>
    <w:rsid w:val="00944202"/>
    <w:rsid w:val="00944335"/>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B9C"/>
    <w:rsid w:val="009509D7"/>
    <w:rsid w:val="00950B09"/>
    <w:rsid w:val="00950DD1"/>
    <w:rsid w:val="00951340"/>
    <w:rsid w:val="00951417"/>
    <w:rsid w:val="0095154C"/>
    <w:rsid w:val="009517A9"/>
    <w:rsid w:val="009518B4"/>
    <w:rsid w:val="009518BD"/>
    <w:rsid w:val="00951910"/>
    <w:rsid w:val="00951995"/>
    <w:rsid w:val="00951C7E"/>
    <w:rsid w:val="00951CF6"/>
    <w:rsid w:val="00952216"/>
    <w:rsid w:val="0095225E"/>
    <w:rsid w:val="00952ACA"/>
    <w:rsid w:val="009534C9"/>
    <w:rsid w:val="009537A7"/>
    <w:rsid w:val="00953B1F"/>
    <w:rsid w:val="00953CEA"/>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40C7"/>
    <w:rsid w:val="009640D3"/>
    <w:rsid w:val="009649EA"/>
    <w:rsid w:val="00964DB8"/>
    <w:rsid w:val="00964E3C"/>
    <w:rsid w:val="00964E69"/>
    <w:rsid w:val="00964FE3"/>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41D"/>
    <w:rsid w:val="00985B5B"/>
    <w:rsid w:val="00985C9A"/>
    <w:rsid w:val="00985CA4"/>
    <w:rsid w:val="00985D90"/>
    <w:rsid w:val="00985F0C"/>
    <w:rsid w:val="0098606B"/>
    <w:rsid w:val="009861A9"/>
    <w:rsid w:val="009863AD"/>
    <w:rsid w:val="00986956"/>
    <w:rsid w:val="009876A0"/>
    <w:rsid w:val="009877D2"/>
    <w:rsid w:val="009879B5"/>
    <w:rsid w:val="009879F4"/>
    <w:rsid w:val="009904B4"/>
    <w:rsid w:val="00990A01"/>
    <w:rsid w:val="00990D32"/>
    <w:rsid w:val="00990D3B"/>
    <w:rsid w:val="00990DCC"/>
    <w:rsid w:val="00990E80"/>
    <w:rsid w:val="009917F3"/>
    <w:rsid w:val="00991B0C"/>
    <w:rsid w:val="00991F39"/>
    <w:rsid w:val="009921AE"/>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3183"/>
    <w:rsid w:val="009A34BB"/>
    <w:rsid w:val="009A34F2"/>
    <w:rsid w:val="009A37AC"/>
    <w:rsid w:val="009A3A69"/>
    <w:rsid w:val="009A3AB5"/>
    <w:rsid w:val="009A414F"/>
    <w:rsid w:val="009A4758"/>
    <w:rsid w:val="009A4C99"/>
    <w:rsid w:val="009A4FD9"/>
    <w:rsid w:val="009A5004"/>
    <w:rsid w:val="009A516A"/>
    <w:rsid w:val="009A528E"/>
    <w:rsid w:val="009A599A"/>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1BC"/>
    <w:rsid w:val="009B43E1"/>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661"/>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BEA"/>
    <w:rsid w:val="009D2C43"/>
    <w:rsid w:val="009D31C1"/>
    <w:rsid w:val="009D3256"/>
    <w:rsid w:val="009D3CC0"/>
    <w:rsid w:val="009D3D45"/>
    <w:rsid w:val="009D40DC"/>
    <w:rsid w:val="009D422C"/>
    <w:rsid w:val="009D4303"/>
    <w:rsid w:val="009D478C"/>
    <w:rsid w:val="009D49A4"/>
    <w:rsid w:val="009D49B5"/>
    <w:rsid w:val="009D4A8E"/>
    <w:rsid w:val="009D4DA3"/>
    <w:rsid w:val="009D4DAE"/>
    <w:rsid w:val="009D60A4"/>
    <w:rsid w:val="009D610C"/>
    <w:rsid w:val="009D62E7"/>
    <w:rsid w:val="009D69E5"/>
    <w:rsid w:val="009D6B8A"/>
    <w:rsid w:val="009D6CAB"/>
    <w:rsid w:val="009D6F40"/>
    <w:rsid w:val="009D75A4"/>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1033"/>
    <w:rsid w:val="009F10FC"/>
    <w:rsid w:val="009F187B"/>
    <w:rsid w:val="009F1933"/>
    <w:rsid w:val="009F2297"/>
    <w:rsid w:val="009F2E7E"/>
    <w:rsid w:val="009F3720"/>
    <w:rsid w:val="009F3A4B"/>
    <w:rsid w:val="009F3B56"/>
    <w:rsid w:val="009F3FC9"/>
    <w:rsid w:val="009F41E1"/>
    <w:rsid w:val="009F4375"/>
    <w:rsid w:val="009F4834"/>
    <w:rsid w:val="009F4E73"/>
    <w:rsid w:val="009F4ED5"/>
    <w:rsid w:val="009F4F05"/>
    <w:rsid w:val="009F5234"/>
    <w:rsid w:val="009F537B"/>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4150"/>
    <w:rsid w:val="00A241E6"/>
    <w:rsid w:val="00A2470A"/>
    <w:rsid w:val="00A2481C"/>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21EE"/>
    <w:rsid w:val="00A32461"/>
    <w:rsid w:val="00A325C2"/>
    <w:rsid w:val="00A325CC"/>
    <w:rsid w:val="00A327E2"/>
    <w:rsid w:val="00A32C37"/>
    <w:rsid w:val="00A33BC8"/>
    <w:rsid w:val="00A33C3D"/>
    <w:rsid w:val="00A33C9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39E"/>
    <w:rsid w:val="00A40531"/>
    <w:rsid w:val="00A40889"/>
    <w:rsid w:val="00A41009"/>
    <w:rsid w:val="00A41179"/>
    <w:rsid w:val="00A41263"/>
    <w:rsid w:val="00A41772"/>
    <w:rsid w:val="00A418E6"/>
    <w:rsid w:val="00A41B35"/>
    <w:rsid w:val="00A41CA0"/>
    <w:rsid w:val="00A41EB2"/>
    <w:rsid w:val="00A42659"/>
    <w:rsid w:val="00A42721"/>
    <w:rsid w:val="00A42897"/>
    <w:rsid w:val="00A429DE"/>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B4B"/>
    <w:rsid w:val="00A5044D"/>
    <w:rsid w:val="00A509A1"/>
    <w:rsid w:val="00A50AED"/>
    <w:rsid w:val="00A50B00"/>
    <w:rsid w:val="00A511FB"/>
    <w:rsid w:val="00A514EB"/>
    <w:rsid w:val="00A52109"/>
    <w:rsid w:val="00A521E0"/>
    <w:rsid w:val="00A52A54"/>
    <w:rsid w:val="00A52D1E"/>
    <w:rsid w:val="00A5313C"/>
    <w:rsid w:val="00A5320D"/>
    <w:rsid w:val="00A53552"/>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AD"/>
    <w:rsid w:val="00A565C3"/>
    <w:rsid w:val="00A56735"/>
    <w:rsid w:val="00A56C2C"/>
    <w:rsid w:val="00A570E9"/>
    <w:rsid w:val="00A572A2"/>
    <w:rsid w:val="00A57311"/>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BC7"/>
    <w:rsid w:val="00A64EB1"/>
    <w:rsid w:val="00A65354"/>
    <w:rsid w:val="00A657CF"/>
    <w:rsid w:val="00A659FD"/>
    <w:rsid w:val="00A65FBF"/>
    <w:rsid w:val="00A66089"/>
    <w:rsid w:val="00A66A0F"/>
    <w:rsid w:val="00A66A5A"/>
    <w:rsid w:val="00A672E0"/>
    <w:rsid w:val="00A677C1"/>
    <w:rsid w:val="00A67A8E"/>
    <w:rsid w:val="00A67AC6"/>
    <w:rsid w:val="00A70A35"/>
    <w:rsid w:val="00A7141F"/>
    <w:rsid w:val="00A71A33"/>
    <w:rsid w:val="00A71D6B"/>
    <w:rsid w:val="00A72343"/>
    <w:rsid w:val="00A7243E"/>
    <w:rsid w:val="00A734B9"/>
    <w:rsid w:val="00A73873"/>
    <w:rsid w:val="00A73A4F"/>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45A"/>
    <w:rsid w:val="00A87482"/>
    <w:rsid w:val="00A875E8"/>
    <w:rsid w:val="00A87C98"/>
    <w:rsid w:val="00A905F1"/>
    <w:rsid w:val="00A906BA"/>
    <w:rsid w:val="00A90E27"/>
    <w:rsid w:val="00A91218"/>
    <w:rsid w:val="00A91469"/>
    <w:rsid w:val="00A9164F"/>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EEC"/>
    <w:rsid w:val="00AA1F14"/>
    <w:rsid w:val="00AA210C"/>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6B8"/>
    <w:rsid w:val="00AB0ADE"/>
    <w:rsid w:val="00AB0CA0"/>
    <w:rsid w:val="00AB102D"/>
    <w:rsid w:val="00AB161F"/>
    <w:rsid w:val="00AB1A33"/>
    <w:rsid w:val="00AB1B40"/>
    <w:rsid w:val="00AB1BBE"/>
    <w:rsid w:val="00AB1C99"/>
    <w:rsid w:val="00AB1DD3"/>
    <w:rsid w:val="00AB24A0"/>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D4E"/>
    <w:rsid w:val="00AC2DA4"/>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5A3B"/>
    <w:rsid w:val="00AC604F"/>
    <w:rsid w:val="00AC61B3"/>
    <w:rsid w:val="00AC63F4"/>
    <w:rsid w:val="00AC6521"/>
    <w:rsid w:val="00AC690A"/>
    <w:rsid w:val="00AC6D0A"/>
    <w:rsid w:val="00AC7949"/>
    <w:rsid w:val="00AD01DF"/>
    <w:rsid w:val="00AD0286"/>
    <w:rsid w:val="00AD0EB8"/>
    <w:rsid w:val="00AD10B9"/>
    <w:rsid w:val="00AD12BD"/>
    <w:rsid w:val="00AD163D"/>
    <w:rsid w:val="00AD17B7"/>
    <w:rsid w:val="00AD18AD"/>
    <w:rsid w:val="00AD1ADD"/>
    <w:rsid w:val="00AD1DFE"/>
    <w:rsid w:val="00AD1E27"/>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758"/>
    <w:rsid w:val="00AD6C7F"/>
    <w:rsid w:val="00AD70C9"/>
    <w:rsid w:val="00AD732B"/>
    <w:rsid w:val="00AD7346"/>
    <w:rsid w:val="00AD75A6"/>
    <w:rsid w:val="00AD7927"/>
    <w:rsid w:val="00AE0026"/>
    <w:rsid w:val="00AE07A9"/>
    <w:rsid w:val="00AE0D23"/>
    <w:rsid w:val="00AE0E9E"/>
    <w:rsid w:val="00AE1418"/>
    <w:rsid w:val="00AE14B7"/>
    <w:rsid w:val="00AE18E9"/>
    <w:rsid w:val="00AE1EFD"/>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B58"/>
    <w:rsid w:val="00AF1414"/>
    <w:rsid w:val="00AF1CA8"/>
    <w:rsid w:val="00AF224C"/>
    <w:rsid w:val="00AF28B0"/>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9CE"/>
    <w:rsid w:val="00B03D26"/>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5B1"/>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57B"/>
    <w:rsid w:val="00B27BA9"/>
    <w:rsid w:val="00B27C5E"/>
    <w:rsid w:val="00B27D54"/>
    <w:rsid w:val="00B305C0"/>
    <w:rsid w:val="00B305F9"/>
    <w:rsid w:val="00B31447"/>
    <w:rsid w:val="00B31E5F"/>
    <w:rsid w:val="00B32607"/>
    <w:rsid w:val="00B326BE"/>
    <w:rsid w:val="00B32821"/>
    <w:rsid w:val="00B32A3B"/>
    <w:rsid w:val="00B32CE3"/>
    <w:rsid w:val="00B3331B"/>
    <w:rsid w:val="00B33595"/>
    <w:rsid w:val="00B33808"/>
    <w:rsid w:val="00B3396B"/>
    <w:rsid w:val="00B33AF8"/>
    <w:rsid w:val="00B33C7B"/>
    <w:rsid w:val="00B3416B"/>
    <w:rsid w:val="00B345D0"/>
    <w:rsid w:val="00B346E7"/>
    <w:rsid w:val="00B34886"/>
    <w:rsid w:val="00B3488B"/>
    <w:rsid w:val="00B348C6"/>
    <w:rsid w:val="00B34C43"/>
    <w:rsid w:val="00B34CCC"/>
    <w:rsid w:val="00B3511C"/>
    <w:rsid w:val="00B35284"/>
    <w:rsid w:val="00B3539A"/>
    <w:rsid w:val="00B35CB3"/>
    <w:rsid w:val="00B35E56"/>
    <w:rsid w:val="00B35F8E"/>
    <w:rsid w:val="00B364FF"/>
    <w:rsid w:val="00B36A46"/>
    <w:rsid w:val="00B36AED"/>
    <w:rsid w:val="00B37121"/>
    <w:rsid w:val="00B37DF1"/>
    <w:rsid w:val="00B4003E"/>
    <w:rsid w:val="00B40122"/>
    <w:rsid w:val="00B4023E"/>
    <w:rsid w:val="00B40292"/>
    <w:rsid w:val="00B406B2"/>
    <w:rsid w:val="00B40912"/>
    <w:rsid w:val="00B40D73"/>
    <w:rsid w:val="00B411A3"/>
    <w:rsid w:val="00B412CB"/>
    <w:rsid w:val="00B41351"/>
    <w:rsid w:val="00B415EF"/>
    <w:rsid w:val="00B41A84"/>
    <w:rsid w:val="00B41B34"/>
    <w:rsid w:val="00B41C93"/>
    <w:rsid w:val="00B41EDB"/>
    <w:rsid w:val="00B42378"/>
    <w:rsid w:val="00B4264E"/>
    <w:rsid w:val="00B427E4"/>
    <w:rsid w:val="00B42879"/>
    <w:rsid w:val="00B42B9A"/>
    <w:rsid w:val="00B430BD"/>
    <w:rsid w:val="00B430D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60A0"/>
    <w:rsid w:val="00B461C8"/>
    <w:rsid w:val="00B462D6"/>
    <w:rsid w:val="00B46347"/>
    <w:rsid w:val="00B463CB"/>
    <w:rsid w:val="00B46BBB"/>
    <w:rsid w:val="00B47036"/>
    <w:rsid w:val="00B47784"/>
    <w:rsid w:val="00B4783F"/>
    <w:rsid w:val="00B47CEF"/>
    <w:rsid w:val="00B47E6A"/>
    <w:rsid w:val="00B50445"/>
    <w:rsid w:val="00B504F7"/>
    <w:rsid w:val="00B50D6B"/>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85D"/>
    <w:rsid w:val="00B56A86"/>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267"/>
    <w:rsid w:val="00B7273B"/>
    <w:rsid w:val="00B727B8"/>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727"/>
    <w:rsid w:val="00B76CD5"/>
    <w:rsid w:val="00B77062"/>
    <w:rsid w:val="00B7709F"/>
    <w:rsid w:val="00B772C3"/>
    <w:rsid w:val="00B774CC"/>
    <w:rsid w:val="00B77632"/>
    <w:rsid w:val="00B778C2"/>
    <w:rsid w:val="00B77D8A"/>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408E"/>
    <w:rsid w:val="00B84920"/>
    <w:rsid w:val="00B84BE8"/>
    <w:rsid w:val="00B85883"/>
    <w:rsid w:val="00B85909"/>
    <w:rsid w:val="00B85E03"/>
    <w:rsid w:val="00B85F67"/>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DEB"/>
    <w:rsid w:val="00BA4E10"/>
    <w:rsid w:val="00BA524E"/>
    <w:rsid w:val="00BA5346"/>
    <w:rsid w:val="00BA53FC"/>
    <w:rsid w:val="00BA54FB"/>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66"/>
    <w:rsid w:val="00BB1B24"/>
    <w:rsid w:val="00BB1C4F"/>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6037"/>
    <w:rsid w:val="00BB61DC"/>
    <w:rsid w:val="00BB62A9"/>
    <w:rsid w:val="00BB6431"/>
    <w:rsid w:val="00BB6472"/>
    <w:rsid w:val="00BB6C81"/>
    <w:rsid w:val="00BB705A"/>
    <w:rsid w:val="00BB71EC"/>
    <w:rsid w:val="00BB723D"/>
    <w:rsid w:val="00BB724B"/>
    <w:rsid w:val="00BB7634"/>
    <w:rsid w:val="00BB7864"/>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2E1"/>
    <w:rsid w:val="00BC5CE2"/>
    <w:rsid w:val="00BC5D13"/>
    <w:rsid w:val="00BC68C0"/>
    <w:rsid w:val="00BC7019"/>
    <w:rsid w:val="00BC70D5"/>
    <w:rsid w:val="00BC7133"/>
    <w:rsid w:val="00BC71C5"/>
    <w:rsid w:val="00BC7659"/>
    <w:rsid w:val="00BC77C9"/>
    <w:rsid w:val="00BC783B"/>
    <w:rsid w:val="00BC7A42"/>
    <w:rsid w:val="00BD013E"/>
    <w:rsid w:val="00BD0238"/>
    <w:rsid w:val="00BD03AD"/>
    <w:rsid w:val="00BD07D3"/>
    <w:rsid w:val="00BD082C"/>
    <w:rsid w:val="00BD0FC4"/>
    <w:rsid w:val="00BD140B"/>
    <w:rsid w:val="00BD1624"/>
    <w:rsid w:val="00BD238C"/>
    <w:rsid w:val="00BD2A08"/>
    <w:rsid w:val="00BD2F55"/>
    <w:rsid w:val="00BD32CE"/>
    <w:rsid w:val="00BD3806"/>
    <w:rsid w:val="00BD3837"/>
    <w:rsid w:val="00BD386B"/>
    <w:rsid w:val="00BD3C69"/>
    <w:rsid w:val="00BD3D7A"/>
    <w:rsid w:val="00BD4235"/>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E8"/>
    <w:rsid w:val="00BE2404"/>
    <w:rsid w:val="00BE2412"/>
    <w:rsid w:val="00BE269D"/>
    <w:rsid w:val="00BE28FE"/>
    <w:rsid w:val="00BE2B2C"/>
    <w:rsid w:val="00BE2BF1"/>
    <w:rsid w:val="00BE312F"/>
    <w:rsid w:val="00BE3CD9"/>
    <w:rsid w:val="00BE3E52"/>
    <w:rsid w:val="00BE3EA0"/>
    <w:rsid w:val="00BE403F"/>
    <w:rsid w:val="00BE4593"/>
    <w:rsid w:val="00BE475F"/>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20B"/>
    <w:rsid w:val="00BF12B0"/>
    <w:rsid w:val="00BF1309"/>
    <w:rsid w:val="00BF1A29"/>
    <w:rsid w:val="00BF1E00"/>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F1A"/>
    <w:rsid w:val="00C010F5"/>
    <w:rsid w:val="00C0125C"/>
    <w:rsid w:val="00C01305"/>
    <w:rsid w:val="00C0150C"/>
    <w:rsid w:val="00C01835"/>
    <w:rsid w:val="00C01B95"/>
    <w:rsid w:val="00C02192"/>
    <w:rsid w:val="00C023FA"/>
    <w:rsid w:val="00C0253E"/>
    <w:rsid w:val="00C02B71"/>
    <w:rsid w:val="00C02CDE"/>
    <w:rsid w:val="00C03167"/>
    <w:rsid w:val="00C0350D"/>
    <w:rsid w:val="00C039B6"/>
    <w:rsid w:val="00C03B7B"/>
    <w:rsid w:val="00C03D06"/>
    <w:rsid w:val="00C04591"/>
    <w:rsid w:val="00C05182"/>
    <w:rsid w:val="00C056CD"/>
    <w:rsid w:val="00C057E0"/>
    <w:rsid w:val="00C05863"/>
    <w:rsid w:val="00C05C20"/>
    <w:rsid w:val="00C06066"/>
    <w:rsid w:val="00C0648A"/>
    <w:rsid w:val="00C06690"/>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C0C"/>
    <w:rsid w:val="00C15064"/>
    <w:rsid w:val="00C1512F"/>
    <w:rsid w:val="00C15135"/>
    <w:rsid w:val="00C152B3"/>
    <w:rsid w:val="00C159ED"/>
    <w:rsid w:val="00C15B45"/>
    <w:rsid w:val="00C15FFF"/>
    <w:rsid w:val="00C1662C"/>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9C5"/>
    <w:rsid w:val="00C439F0"/>
    <w:rsid w:val="00C43CE7"/>
    <w:rsid w:val="00C43FEF"/>
    <w:rsid w:val="00C4418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B7"/>
    <w:rsid w:val="00C51D11"/>
    <w:rsid w:val="00C5248C"/>
    <w:rsid w:val="00C5257E"/>
    <w:rsid w:val="00C526A5"/>
    <w:rsid w:val="00C52A41"/>
    <w:rsid w:val="00C52A73"/>
    <w:rsid w:val="00C53183"/>
    <w:rsid w:val="00C531B4"/>
    <w:rsid w:val="00C532B0"/>
    <w:rsid w:val="00C532F9"/>
    <w:rsid w:val="00C533DA"/>
    <w:rsid w:val="00C53E22"/>
    <w:rsid w:val="00C5430E"/>
    <w:rsid w:val="00C54C62"/>
    <w:rsid w:val="00C54FF6"/>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468"/>
    <w:rsid w:val="00C71A91"/>
    <w:rsid w:val="00C72280"/>
    <w:rsid w:val="00C7238B"/>
    <w:rsid w:val="00C723AF"/>
    <w:rsid w:val="00C723F3"/>
    <w:rsid w:val="00C72953"/>
    <w:rsid w:val="00C72EF5"/>
    <w:rsid w:val="00C72FD0"/>
    <w:rsid w:val="00C732C5"/>
    <w:rsid w:val="00C7357D"/>
    <w:rsid w:val="00C73F77"/>
    <w:rsid w:val="00C740FD"/>
    <w:rsid w:val="00C74157"/>
    <w:rsid w:val="00C743F1"/>
    <w:rsid w:val="00C7448E"/>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9AA"/>
    <w:rsid w:val="00CA0A5D"/>
    <w:rsid w:val="00CA0BAF"/>
    <w:rsid w:val="00CA0CA5"/>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6640"/>
    <w:rsid w:val="00CA6AAC"/>
    <w:rsid w:val="00CA7046"/>
    <w:rsid w:val="00CA7202"/>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252"/>
    <w:rsid w:val="00CB33E4"/>
    <w:rsid w:val="00CB3460"/>
    <w:rsid w:val="00CB3886"/>
    <w:rsid w:val="00CB3B74"/>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880"/>
    <w:rsid w:val="00CB7B54"/>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D5C"/>
    <w:rsid w:val="00CC1E3E"/>
    <w:rsid w:val="00CC1E40"/>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64C"/>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585"/>
    <w:rsid w:val="00CD25A6"/>
    <w:rsid w:val="00CD283A"/>
    <w:rsid w:val="00CD2962"/>
    <w:rsid w:val="00CD29E7"/>
    <w:rsid w:val="00CD309B"/>
    <w:rsid w:val="00CD3122"/>
    <w:rsid w:val="00CD325D"/>
    <w:rsid w:val="00CD3D0C"/>
    <w:rsid w:val="00CD3E10"/>
    <w:rsid w:val="00CD3F09"/>
    <w:rsid w:val="00CD3FAF"/>
    <w:rsid w:val="00CD42F3"/>
    <w:rsid w:val="00CD4400"/>
    <w:rsid w:val="00CD492B"/>
    <w:rsid w:val="00CD4D5F"/>
    <w:rsid w:val="00CD50EE"/>
    <w:rsid w:val="00CD5423"/>
    <w:rsid w:val="00CD5AC2"/>
    <w:rsid w:val="00CD5C02"/>
    <w:rsid w:val="00CD61E3"/>
    <w:rsid w:val="00CD6814"/>
    <w:rsid w:val="00CD6A0C"/>
    <w:rsid w:val="00CD6E0B"/>
    <w:rsid w:val="00CD787F"/>
    <w:rsid w:val="00CD7E3D"/>
    <w:rsid w:val="00CE00C8"/>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476F"/>
    <w:rsid w:val="00CE5086"/>
    <w:rsid w:val="00CE5112"/>
    <w:rsid w:val="00CE5A7F"/>
    <w:rsid w:val="00CE5E50"/>
    <w:rsid w:val="00CE697C"/>
    <w:rsid w:val="00CE698C"/>
    <w:rsid w:val="00CE69F3"/>
    <w:rsid w:val="00CE6AD5"/>
    <w:rsid w:val="00CE6E24"/>
    <w:rsid w:val="00CE7423"/>
    <w:rsid w:val="00CE7598"/>
    <w:rsid w:val="00CE76BD"/>
    <w:rsid w:val="00CE79BC"/>
    <w:rsid w:val="00CF02AC"/>
    <w:rsid w:val="00CF057C"/>
    <w:rsid w:val="00CF06E6"/>
    <w:rsid w:val="00CF0E93"/>
    <w:rsid w:val="00CF15FE"/>
    <w:rsid w:val="00CF16CE"/>
    <w:rsid w:val="00CF18AB"/>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975"/>
    <w:rsid w:val="00D01C73"/>
    <w:rsid w:val="00D02369"/>
    <w:rsid w:val="00D0253B"/>
    <w:rsid w:val="00D02C36"/>
    <w:rsid w:val="00D02E17"/>
    <w:rsid w:val="00D0327B"/>
    <w:rsid w:val="00D03334"/>
    <w:rsid w:val="00D03CD2"/>
    <w:rsid w:val="00D03F17"/>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E53"/>
    <w:rsid w:val="00D220DF"/>
    <w:rsid w:val="00D22136"/>
    <w:rsid w:val="00D22148"/>
    <w:rsid w:val="00D22406"/>
    <w:rsid w:val="00D22522"/>
    <w:rsid w:val="00D22B5E"/>
    <w:rsid w:val="00D22D2B"/>
    <w:rsid w:val="00D23556"/>
    <w:rsid w:val="00D2390D"/>
    <w:rsid w:val="00D23B89"/>
    <w:rsid w:val="00D23CE2"/>
    <w:rsid w:val="00D23EAA"/>
    <w:rsid w:val="00D23F17"/>
    <w:rsid w:val="00D23F5B"/>
    <w:rsid w:val="00D24FE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527F"/>
    <w:rsid w:val="00D353FF"/>
    <w:rsid w:val="00D35728"/>
    <w:rsid w:val="00D3609F"/>
    <w:rsid w:val="00D3610A"/>
    <w:rsid w:val="00D36245"/>
    <w:rsid w:val="00D3629A"/>
    <w:rsid w:val="00D3646C"/>
    <w:rsid w:val="00D3668C"/>
    <w:rsid w:val="00D366D3"/>
    <w:rsid w:val="00D369EA"/>
    <w:rsid w:val="00D36C8E"/>
    <w:rsid w:val="00D36EEC"/>
    <w:rsid w:val="00D36FD1"/>
    <w:rsid w:val="00D370D6"/>
    <w:rsid w:val="00D37C2D"/>
    <w:rsid w:val="00D404CE"/>
    <w:rsid w:val="00D406EC"/>
    <w:rsid w:val="00D40BE3"/>
    <w:rsid w:val="00D40E25"/>
    <w:rsid w:val="00D40E78"/>
    <w:rsid w:val="00D41009"/>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4C9"/>
    <w:rsid w:val="00D466E5"/>
    <w:rsid w:val="00D467C7"/>
    <w:rsid w:val="00D4688E"/>
    <w:rsid w:val="00D46F2D"/>
    <w:rsid w:val="00D471EF"/>
    <w:rsid w:val="00D475CC"/>
    <w:rsid w:val="00D477E2"/>
    <w:rsid w:val="00D47E55"/>
    <w:rsid w:val="00D5044A"/>
    <w:rsid w:val="00D509A1"/>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3D3C"/>
    <w:rsid w:val="00D6410E"/>
    <w:rsid w:val="00D6433E"/>
    <w:rsid w:val="00D64346"/>
    <w:rsid w:val="00D6447E"/>
    <w:rsid w:val="00D64755"/>
    <w:rsid w:val="00D647F9"/>
    <w:rsid w:val="00D6485C"/>
    <w:rsid w:val="00D64CB8"/>
    <w:rsid w:val="00D65404"/>
    <w:rsid w:val="00D656A1"/>
    <w:rsid w:val="00D6575A"/>
    <w:rsid w:val="00D65837"/>
    <w:rsid w:val="00D65A79"/>
    <w:rsid w:val="00D65AAD"/>
    <w:rsid w:val="00D65B74"/>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3C"/>
    <w:rsid w:val="00D73A6B"/>
    <w:rsid w:val="00D73AA6"/>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6C5"/>
    <w:rsid w:val="00D84D27"/>
    <w:rsid w:val="00D84DA7"/>
    <w:rsid w:val="00D8508D"/>
    <w:rsid w:val="00D852E4"/>
    <w:rsid w:val="00D8586C"/>
    <w:rsid w:val="00D86012"/>
    <w:rsid w:val="00D864A4"/>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896"/>
    <w:rsid w:val="00DA0D4C"/>
    <w:rsid w:val="00DA0FC0"/>
    <w:rsid w:val="00DA10AB"/>
    <w:rsid w:val="00DA1771"/>
    <w:rsid w:val="00DA1D80"/>
    <w:rsid w:val="00DA2046"/>
    <w:rsid w:val="00DA2129"/>
    <w:rsid w:val="00DA23D2"/>
    <w:rsid w:val="00DA2622"/>
    <w:rsid w:val="00DA296A"/>
    <w:rsid w:val="00DA29C4"/>
    <w:rsid w:val="00DA2CD7"/>
    <w:rsid w:val="00DA2D90"/>
    <w:rsid w:val="00DA3450"/>
    <w:rsid w:val="00DA3B43"/>
    <w:rsid w:val="00DA3BE7"/>
    <w:rsid w:val="00DA3DD9"/>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759"/>
    <w:rsid w:val="00DA6A59"/>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31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A21"/>
    <w:rsid w:val="00DB5BEA"/>
    <w:rsid w:val="00DB5DEB"/>
    <w:rsid w:val="00DB5EE5"/>
    <w:rsid w:val="00DB62A6"/>
    <w:rsid w:val="00DB6500"/>
    <w:rsid w:val="00DB6598"/>
    <w:rsid w:val="00DB6646"/>
    <w:rsid w:val="00DB689C"/>
    <w:rsid w:val="00DB68FF"/>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BBD"/>
    <w:rsid w:val="00DC3E1F"/>
    <w:rsid w:val="00DC4287"/>
    <w:rsid w:val="00DC4B72"/>
    <w:rsid w:val="00DC4D4C"/>
    <w:rsid w:val="00DC4D82"/>
    <w:rsid w:val="00DC4E9C"/>
    <w:rsid w:val="00DC4F79"/>
    <w:rsid w:val="00DC50EF"/>
    <w:rsid w:val="00DC522F"/>
    <w:rsid w:val="00DC588E"/>
    <w:rsid w:val="00DC596D"/>
    <w:rsid w:val="00DC65D8"/>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C70"/>
    <w:rsid w:val="00DD6CED"/>
    <w:rsid w:val="00DD6DA2"/>
    <w:rsid w:val="00DD761C"/>
    <w:rsid w:val="00DD7DF3"/>
    <w:rsid w:val="00DE0171"/>
    <w:rsid w:val="00DE0333"/>
    <w:rsid w:val="00DE042B"/>
    <w:rsid w:val="00DE044F"/>
    <w:rsid w:val="00DE0558"/>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953"/>
    <w:rsid w:val="00DF0AF2"/>
    <w:rsid w:val="00DF0D33"/>
    <w:rsid w:val="00DF0E63"/>
    <w:rsid w:val="00DF0FE6"/>
    <w:rsid w:val="00DF1300"/>
    <w:rsid w:val="00DF1758"/>
    <w:rsid w:val="00DF17A0"/>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E2D"/>
    <w:rsid w:val="00E04EE6"/>
    <w:rsid w:val="00E04FB3"/>
    <w:rsid w:val="00E054D8"/>
    <w:rsid w:val="00E05989"/>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9E"/>
    <w:rsid w:val="00E33802"/>
    <w:rsid w:val="00E33814"/>
    <w:rsid w:val="00E338D1"/>
    <w:rsid w:val="00E339C6"/>
    <w:rsid w:val="00E33BB9"/>
    <w:rsid w:val="00E33E4D"/>
    <w:rsid w:val="00E344CE"/>
    <w:rsid w:val="00E3457A"/>
    <w:rsid w:val="00E34F08"/>
    <w:rsid w:val="00E3506A"/>
    <w:rsid w:val="00E35199"/>
    <w:rsid w:val="00E35F47"/>
    <w:rsid w:val="00E362BC"/>
    <w:rsid w:val="00E363DF"/>
    <w:rsid w:val="00E377B6"/>
    <w:rsid w:val="00E377BF"/>
    <w:rsid w:val="00E37C25"/>
    <w:rsid w:val="00E37EB7"/>
    <w:rsid w:val="00E400DE"/>
    <w:rsid w:val="00E40362"/>
    <w:rsid w:val="00E404CE"/>
    <w:rsid w:val="00E40BAC"/>
    <w:rsid w:val="00E40DAE"/>
    <w:rsid w:val="00E41A3E"/>
    <w:rsid w:val="00E41D2F"/>
    <w:rsid w:val="00E425FA"/>
    <w:rsid w:val="00E4273E"/>
    <w:rsid w:val="00E42FB8"/>
    <w:rsid w:val="00E42FF3"/>
    <w:rsid w:val="00E432AE"/>
    <w:rsid w:val="00E43510"/>
    <w:rsid w:val="00E4356E"/>
    <w:rsid w:val="00E43F1E"/>
    <w:rsid w:val="00E43FBE"/>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6442"/>
    <w:rsid w:val="00E5711F"/>
    <w:rsid w:val="00E5719D"/>
    <w:rsid w:val="00E571B7"/>
    <w:rsid w:val="00E5765B"/>
    <w:rsid w:val="00E57A8F"/>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5E6B"/>
    <w:rsid w:val="00E66077"/>
    <w:rsid w:val="00E66286"/>
    <w:rsid w:val="00E6640D"/>
    <w:rsid w:val="00E66637"/>
    <w:rsid w:val="00E6682F"/>
    <w:rsid w:val="00E668A3"/>
    <w:rsid w:val="00E66A1B"/>
    <w:rsid w:val="00E66E21"/>
    <w:rsid w:val="00E67551"/>
    <w:rsid w:val="00E676A6"/>
    <w:rsid w:val="00E67953"/>
    <w:rsid w:val="00E67D67"/>
    <w:rsid w:val="00E67E2F"/>
    <w:rsid w:val="00E701EB"/>
    <w:rsid w:val="00E705E5"/>
    <w:rsid w:val="00E70A95"/>
    <w:rsid w:val="00E70B0C"/>
    <w:rsid w:val="00E71315"/>
    <w:rsid w:val="00E718C9"/>
    <w:rsid w:val="00E71DF1"/>
    <w:rsid w:val="00E722EF"/>
    <w:rsid w:val="00E723D3"/>
    <w:rsid w:val="00E7242A"/>
    <w:rsid w:val="00E7245A"/>
    <w:rsid w:val="00E72ABE"/>
    <w:rsid w:val="00E72BCC"/>
    <w:rsid w:val="00E73065"/>
    <w:rsid w:val="00E7306F"/>
    <w:rsid w:val="00E73670"/>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5A"/>
    <w:rsid w:val="00E76A56"/>
    <w:rsid w:val="00E76CC0"/>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3280"/>
    <w:rsid w:val="00E832C9"/>
    <w:rsid w:val="00E83469"/>
    <w:rsid w:val="00E83765"/>
    <w:rsid w:val="00E839E1"/>
    <w:rsid w:val="00E83E6E"/>
    <w:rsid w:val="00E83EC8"/>
    <w:rsid w:val="00E84088"/>
    <w:rsid w:val="00E845FB"/>
    <w:rsid w:val="00E847F8"/>
    <w:rsid w:val="00E84820"/>
    <w:rsid w:val="00E84F61"/>
    <w:rsid w:val="00E84F87"/>
    <w:rsid w:val="00E850F7"/>
    <w:rsid w:val="00E85483"/>
    <w:rsid w:val="00E85796"/>
    <w:rsid w:val="00E859CA"/>
    <w:rsid w:val="00E85F6C"/>
    <w:rsid w:val="00E85FD9"/>
    <w:rsid w:val="00E86057"/>
    <w:rsid w:val="00E861F7"/>
    <w:rsid w:val="00E864B0"/>
    <w:rsid w:val="00E86647"/>
    <w:rsid w:val="00E86B77"/>
    <w:rsid w:val="00E86BA9"/>
    <w:rsid w:val="00E86DBF"/>
    <w:rsid w:val="00E87565"/>
    <w:rsid w:val="00E879F0"/>
    <w:rsid w:val="00E87AE6"/>
    <w:rsid w:val="00E87D41"/>
    <w:rsid w:val="00E87DCE"/>
    <w:rsid w:val="00E900A2"/>
    <w:rsid w:val="00E90199"/>
    <w:rsid w:val="00E913F0"/>
    <w:rsid w:val="00E914BA"/>
    <w:rsid w:val="00E91514"/>
    <w:rsid w:val="00E915E1"/>
    <w:rsid w:val="00E919F0"/>
    <w:rsid w:val="00E91BF2"/>
    <w:rsid w:val="00E91DDE"/>
    <w:rsid w:val="00E91E61"/>
    <w:rsid w:val="00E91EE7"/>
    <w:rsid w:val="00E920B8"/>
    <w:rsid w:val="00E92270"/>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3A3"/>
    <w:rsid w:val="00E963DA"/>
    <w:rsid w:val="00E9694A"/>
    <w:rsid w:val="00E96C84"/>
    <w:rsid w:val="00E96FBC"/>
    <w:rsid w:val="00E9738B"/>
    <w:rsid w:val="00E97430"/>
    <w:rsid w:val="00E97507"/>
    <w:rsid w:val="00E9760C"/>
    <w:rsid w:val="00EA0281"/>
    <w:rsid w:val="00EA0963"/>
    <w:rsid w:val="00EA0BD3"/>
    <w:rsid w:val="00EA0BFA"/>
    <w:rsid w:val="00EA0D67"/>
    <w:rsid w:val="00EA0E05"/>
    <w:rsid w:val="00EA0E10"/>
    <w:rsid w:val="00EA14FB"/>
    <w:rsid w:val="00EA1B4A"/>
    <w:rsid w:val="00EA1EBF"/>
    <w:rsid w:val="00EA21CE"/>
    <w:rsid w:val="00EA21F0"/>
    <w:rsid w:val="00EA2271"/>
    <w:rsid w:val="00EA2730"/>
    <w:rsid w:val="00EA3D67"/>
    <w:rsid w:val="00EA3DB9"/>
    <w:rsid w:val="00EA4581"/>
    <w:rsid w:val="00EA475F"/>
    <w:rsid w:val="00EA4877"/>
    <w:rsid w:val="00EA4A74"/>
    <w:rsid w:val="00EA4A7A"/>
    <w:rsid w:val="00EA4AC2"/>
    <w:rsid w:val="00EA5029"/>
    <w:rsid w:val="00EA5335"/>
    <w:rsid w:val="00EA59B5"/>
    <w:rsid w:val="00EA6506"/>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F02"/>
    <w:rsid w:val="00EB1705"/>
    <w:rsid w:val="00EB172F"/>
    <w:rsid w:val="00EB17E0"/>
    <w:rsid w:val="00EB1D4D"/>
    <w:rsid w:val="00EB1E07"/>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48"/>
    <w:rsid w:val="00EB5CC3"/>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45E"/>
    <w:rsid w:val="00EC0930"/>
    <w:rsid w:val="00EC117E"/>
    <w:rsid w:val="00EC183D"/>
    <w:rsid w:val="00EC1D83"/>
    <w:rsid w:val="00EC1DD0"/>
    <w:rsid w:val="00EC1F79"/>
    <w:rsid w:val="00EC2106"/>
    <w:rsid w:val="00EC2591"/>
    <w:rsid w:val="00EC2AB3"/>
    <w:rsid w:val="00EC2E2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67"/>
    <w:rsid w:val="00ED4B19"/>
    <w:rsid w:val="00ED4BEA"/>
    <w:rsid w:val="00ED4FE6"/>
    <w:rsid w:val="00ED5122"/>
    <w:rsid w:val="00ED54F7"/>
    <w:rsid w:val="00ED5767"/>
    <w:rsid w:val="00ED57A8"/>
    <w:rsid w:val="00ED58F2"/>
    <w:rsid w:val="00ED70FC"/>
    <w:rsid w:val="00ED7140"/>
    <w:rsid w:val="00EE08BC"/>
    <w:rsid w:val="00EE09C8"/>
    <w:rsid w:val="00EE09EA"/>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D43"/>
    <w:rsid w:val="00EF3E36"/>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EF5"/>
    <w:rsid w:val="00EF6F55"/>
    <w:rsid w:val="00EF7194"/>
    <w:rsid w:val="00EF73AB"/>
    <w:rsid w:val="00EF7614"/>
    <w:rsid w:val="00EF77FC"/>
    <w:rsid w:val="00EF7878"/>
    <w:rsid w:val="00EF7A97"/>
    <w:rsid w:val="00EF7DD6"/>
    <w:rsid w:val="00F000F0"/>
    <w:rsid w:val="00F00180"/>
    <w:rsid w:val="00F00202"/>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793"/>
    <w:rsid w:val="00F10864"/>
    <w:rsid w:val="00F108F5"/>
    <w:rsid w:val="00F11003"/>
    <w:rsid w:val="00F1114C"/>
    <w:rsid w:val="00F1146B"/>
    <w:rsid w:val="00F115E0"/>
    <w:rsid w:val="00F1165E"/>
    <w:rsid w:val="00F11CF5"/>
    <w:rsid w:val="00F11E00"/>
    <w:rsid w:val="00F124CB"/>
    <w:rsid w:val="00F12B3D"/>
    <w:rsid w:val="00F12D63"/>
    <w:rsid w:val="00F13273"/>
    <w:rsid w:val="00F13526"/>
    <w:rsid w:val="00F13D8D"/>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7ED"/>
    <w:rsid w:val="00F25EB4"/>
    <w:rsid w:val="00F2617C"/>
    <w:rsid w:val="00F2643A"/>
    <w:rsid w:val="00F26886"/>
    <w:rsid w:val="00F2699C"/>
    <w:rsid w:val="00F26AF5"/>
    <w:rsid w:val="00F26B24"/>
    <w:rsid w:val="00F27E0C"/>
    <w:rsid w:val="00F3002F"/>
    <w:rsid w:val="00F30031"/>
    <w:rsid w:val="00F300F2"/>
    <w:rsid w:val="00F30353"/>
    <w:rsid w:val="00F308C0"/>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37ED6"/>
    <w:rsid w:val="00F4125D"/>
    <w:rsid w:val="00F42910"/>
    <w:rsid w:val="00F42C2B"/>
    <w:rsid w:val="00F43516"/>
    <w:rsid w:val="00F439C5"/>
    <w:rsid w:val="00F44833"/>
    <w:rsid w:val="00F44D41"/>
    <w:rsid w:val="00F45906"/>
    <w:rsid w:val="00F45E7B"/>
    <w:rsid w:val="00F45E9D"/>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F2A"/>
    <w:rsid w:val="00F5406C"/>
    <w:rsid w:val="00F54192"/>
    <w:rsid w:val="00F542D8"/>
    <w:rsid w:val="00F548C8"/>
    <w:rsid w:val="00F551DC"/>
    <w:rsid w:val="00F55454"/>
    <w:rsid w:val="00F5558C"/>
    <w:rsid w:val="00F55AC5"/>
    <w:rsid w:val="00F55F9D"/>
    <w:rsid w:val="00F568FF"/>
    <w:rsid w:val="00F56918"/>
    <w:rsid w:val="00F56B25"/>
    <w:rsid w:val="00F56C6C"/>
    <w:rsid w:val="00F56C8B"/>
    <w:rsid w:val="00F56E09"/>
    <w:rsid w:val="00F5765A"/>
    <w:rsid w:val="00F57704"/>
    <w:rsid w:val="00F577F9"/>
    <w:rsid w:val="00F57A37"/>
    <w:rsid w:val="00F57C72"/>
    <w:rsid w:val="00F6021A"/>
    <w:rsid w:val="00F60470"/>
    <w:rsid w:val="00F60C7D"/>
    <w:rsid w:val="00F61158"/>
    <w:rsid w:val="00F61564"/>
    <w:rsid w:val="00F61701"/>
    <w:rsid w:val="00F61902"/>
    <w:rsid w:val="00F61FDE"/>
    <w:rsid w:val="00F622E1"/>
    <w:rsid w:val="00F622E3"/>
    <w:rsid w:val="00F62377"/>
    <w:rsid w:val="00F623D9"/>
    <w:rsid w:val="00F62E2A"/>
    <w:rsid w:val="00F63289"/>
    <w:rsid w:val="00F634A6"/>
    <w:rsid w:val="00F63622"/>
    <w:rsid w:val="00F6404E"/>
    <w:rsid w:val="00F6433C"/>
    <w:rsid w:val="00F644BD"/>
    <w:rsid w:val="00F6474A"/>
    <w:rsid w:val="00F64966"/>
    <w:rsid w:val="00F64A9C"/>
    <w:rsid w:val="00F64D85"/>
    <w:rsid w:val="00F64F9F"/>
    <w:rsid w:val="00F6522A"/>
    <w:rsid w:val="00F65AFE"/>
    <w:rsid w:val="00F660B8"/>
    <w:rsid w:val="00F6624A"/>
    <w:rsid w:val="00F6658E"/>
    <w:rsid w:val="00F66643"/>
    <w:rsid w:val="00F669E3"/>
    <w:rsid w:val="00F67A85"/>
    <w:rsid w:val="00F67D86"/>
    <w:rsid w:val="00F67F10"/>
    <w:rsid w:val="00F702F1"/>
    <w:rsid w:val="00F70FF9"/>
    <w:rsid w:val="00F71026"/>
    <w:rsid w:val="00F71042"/>
    <w:rsid w:val="00F710A0"/>
    <w:rsid w:val="00F71768"/>
    <w:rsid w:val="00F71976"/>
    <w:rsid w:val="00F71A99"/>
    <w:rsid w:val="00F71C4F"/>
    <w:rsid w:val="00F71EB4"/>
    <w:rsid w:val="00F71F48"/>
    <w:rsid w:val="00F71F79"/>
    <w:rsid w:val="00F721A1"/>
    <w:rsid w:val="00F724E3"/>
    <w:rsid w:val="00F727AA"/>
    <w:rsid w:val="00F729CA"/>
    <w:rsid w:val="00F72C94"/>
    <w:rsid w:val="00F7337E"/>
    <w:rsid w:val="00F73852"/>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80AB6"/>
    <w:rsid w:val="00F80D8F"/>
    <w:rsid w:val="00F81311"/>
    <w:rsid w:val="00F8136D"/>
    <w:rsid w:val="00F81507"/>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147"/>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3DE"/>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5A9"/>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4DC"/>
    <w:rsid w:val="00FC47D1"/>
    <w:rsid w:val="00FC4850"/>
    <w:rsid w:val="00FC4CA4"/>
    <w:rsid w:val="00FC4DD6"/>
    <w:rsid w:val="00FC545C"/>
    <w:rsid w:val="00FC553E"/>
    <w:rsid w:val="00FC6100"/>
    <w:rsid w:val="00FC65A0"/>
    <w:rsid w:val="00FC6B41"/>
    <w:rsid w:val="00FC6EF1"/>
    <w:rsid w:val="00FC7308"/>
    <w:rsid w:val="00FC7369"/>
    <w:rsid w:val="00FC7DD2"/>
    <w:rsid w:val="00FC7F93"/>
    <w:rsid w:val="00FD0C32"/>
    <w:rsid w:val="00FD10D2"/>
    <w:rsid w:val="00FD111E"/>
    <w:rsid w:val="00FD1401"/>
    <w:rsid w:val="00FD14E4"/>
    <w:rsid w:val="00FD2804"/>
    <w:rsid w:val="00FD282A"/>
    <w:rsid w:val="00FD2A71"/>
    <w:rsid w:val="00FD2F16"/>
    <w:rsid w:val="00FD3905"/>
    <w:rsid w:val="00FD3B8A"/>
    <w:rsid w:val="00FD408B"/>
    <w:rsid w:val="00FD43D6"/>
    <w:rsid w:val="00FD4620"/>
    <w:rsid w:val="00FD48FE"/>
    <w:rsid w:val="00FD4CC0"/>
    <w:rsid w:val="00FD54ED"/>
    <w:rsid w:val="00FD552B"/>
    <w:rsid w:val="00FD5642"/>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4B6"/>
    <w:rsid w:val="00FE05E5"/>
    <w:rsid w:val="00FE0657"/>
    <w:rsid w:val="00FE07D8"/>
    <w:rsid w:val="00FE0B02"/>
    <w:rsid w:val="00FE0DA7"/>
    <w:rsid w:val="00FE1C1A"/>
    <w:rsid w:val="00FE1F31"/>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716FF6-7476-402F-9771-3D5D48D1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中等深浅网格 1 - 着色 21,列表段落,1st level - Bullet List Paragraph,Lettre d'introduction,Paragrafo elenco,Normal bullet 2,Bullet list,Numbered List,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목록 단락 Char,リスト段落 Char,?? ?? Char,????? Char,???? Char,Lista1 Char,中等深浅网格 1 - 着色 21 Char,列表段落 Char,1st level - Bullet List Paragraph Char,Lettre d'introduction Char,Paragrafo elenco Char,Normal bullet 2 Char,列出段落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http://www.3gpp.org/ftp/TSG_RAN/WG1_RL1/TSGR1_98/Docs/R1-1908488.zip" TargetMode="External"/><Relationship Id="rId26" Type="http://schemas.openxmlformats.org/officeDocument/2006/relationships/hyperlink" Target="http://www.3gpp.org/ftp/TSG_RAN/WG1_RL1/TSGR1_98/Docs/R1-1908865.zip" TargetMode="External"/><Relationship Id="rId3" Type="http://schemas.openxmlformats.org/officeDocument/2006/relationships/customXml" Target="../customXml/item3.xml"/><Relationship Id="rId21" Type="http://schemas.openxmlformats.org/officeDocument/2006/relationships/hyperlink" Target="http://www.3gpp.org/ftp/TSG_RAN/WG1_RL1/TSGR1_98/Docs/R1-1908674.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1_RL1/TSGR1_98/Docs/R1-1908049.zip" TargetMode="External"/><Relationship Id="rId17" Type="http://schemas.openxmlformats.org/officeDocument/2006/relationships/hyperlink" Target="http://www.3gpp.org/ftp/TSG_RAN/WG1_RL1/TSGR1_98/Docs/R1-1908250.zip" TargetMode="External"/><Relationship Id="rId25" Type="http://schemas.openxmlformats.org/officeDocument/2006/relationships/hyperlink" Target="http://www.3gpp.org/ftp/TSG_RAN/WG1_RL1/TSGR1_98/Docs/R1-1908818.zi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TSG_RAN/WG1_RL1/TSGR1_98/Docs/R1-1908229.zip" TargetMode="External"/><Relationship Id="rId20" Type="http://schemas.openxmlformats.org/officeDocument/2006/relationships/hyperlink" Target="http://www.3gpp.org/ftp/TSG_RAN/WG1_RL1/TSGR1_98/Docs/R1-1908643.zip" TargetMode="External"/><Relationship Id="rId29" Type="http://schemas.openxmlformats.org/officeDocument/2006/relationships/hyperlink" Target="http://www.3gpp.org/ftp/TSG_RAN/WG1_RL1/TSGR1_98/Docs/R1-190926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8/Docs/R1-1908812.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98/Docs/R1-1908128.zip" TargetMode="External"/><Relationship Id="rId23" Type="http://schemas.openxmlformats.org/officeDocument/2006/relationships/hyperlink" Target="http://www.3gpp.org/ftp/TSG_RAN/WG1_RL1/TSGR1_98/Docs/R1-1908775.zip" TargetMode="External"/><Relationship Id="rId28" Type="http://schemas.openxmlformats.org/officeDocument/2006/relationships/hyperlink" Target="http://www.3gpp.org/ftp/TSG_RAN/WG1_RL1/TSGR1_98/Docs/R1-1909107.zip" TargetMode="External"/><Relationship Id="rId10" Type="http://schemas.openxmlformats.org/officeDocument/2006/relationships/footnotes" Target="footnotes.xml"/><Relationship Id="rId19" Type="http://schemas.openxmlformats.org/officeDocument/2006/relationships/hyperlink" Target="http://www.3gpp.org/ftp/TSG_RAN/WG1_RL1/TSGR1_98/Docs/R1-1908591.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8/Docs/R1-1908128.zip" TargetMode="External"/><Relationship Id="rId22" Type="http://schemas.openxmlformats.org/officeDocument/2006/relationships/hyperlink" Target="http://www.3gpp.org/ftp/TSG_RAN/WG1_RL1/TSGR1_98/Docs/R1-1908775.zip" TargetMode="External"/><Relationship Id="rId27" Type="http://schemas.openxmlformats.org/officeDocument/2006/relationships/hyperlink" Target="http://www.3gpp.org/ftp/TSG_RAN/WG1_RL1/TSGR1_98/Docs/R1-1908984.zip" TargetMode="External"/><Relationship Id="rId30" Type="http://schemas.openxmlformats.org/officeDocument/2006/relationships/hyperlink" Target="http://www.3gpp.org/ftp/TSG_RAN/WG1_RL1/TSGR1_98/Docs/R1-1909400.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26E7BA4-2E36-4BAB-A685-9AFD24D2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14</Pages>
  <Words>7687</Words>
  <Characters>43817</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51402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张楠10184108</cp:lastModifiedBy>
  <cp:revision>233</cp:revision>
  <cp:lastPrinted>2011-11-09T07:49:00Z</cp:lastPrinted>
  <dcterms:created xsi:type="dcterms:W3CDTF">2019-08-27T13:27:00Z</dcterms:created>
  <dcterms:modified xsi:type="dcterms:W3CDTF">2019-08-28T09:55:00Z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ies>
</file>